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5014DE" w:rsidP="00EA5F0B">
      <w:pPr>
        <w:spacing w:line="360" w:lineRule="auto"/>
        <w:jc w:val="center"/>
        <w:rPr>
          <w:b/>
          <w:bCs/>
          <w:sz w:val="44"/>
        </w:rPr>
      </w:pPr>
      <w:r>
        <w:rPr>
          <w:rFonts w:ascii="宋体" w:hAnsi="宋体" w:cs="宋体" w:hint="eastAsia"/>
          <w:b/>
          <w:kern w:val="0"/>
          <w:sz w:val="44"/>
          <w:szCs w:val="44"/>
        </w:rPr>
        <w:t>广电计量2018年小功率座检定装置采购项目（第二次）</w:t>
      </w:r>
    </w:p>
    <w:p w:rsidR="004E6772" w:rsidRPr="002A563B" w:rsidRDefault="004E6772" w:rsidP="004E6772">
      <w:pPr>
        <w:spacing w:line="360" w:lineRule="auto"/>
        <w:jc w:val="center"/>
        <w:rPr>
          <w:b/>
          <w:bCs/>
          <w:sz w:val="44"/>
        </w:rPr>
      </w:pPr>
    </w:p>
    <w:p w:rsidR="004E6772" w:rsidRPr="000316EC"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2A563B"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0C0E1B">
        <w:rPr>
          <w:rFonts w:ascii="仿宋_GB2312" w:eastAsia="仿宋_GB2312" w:hint="eastAsia"/>
          <w:b/>
          <w:sz w:val="36"/>
          <w:szCs w:val="36"/>
        </w:rPr>
        <w:t>GDJL-18/09-245</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3F4FF1">
      <w:pPr>
        <w:pStyle w:val="10"/>
        <w:tabs>
          <w:tab w:val="right" w:leader="dot" w:pos="9402"/>
        </w:tabs>
        <w:rPr>
          <w:rFonts w:eastAsiaTheme="minorEastAsia" w:cstheme="minorBidi"/>
          <w:b w:val="0"/>
          <w:bCs w:val="0"/>
          <w:caps w:val="0"/>
          <w:noProof/>
          <w:sz w:val="21"/>
          <w:szCs w:val="22"/>
        </w:rPr>
      </w:pPr>
      <w:r w:rsidRPr="003F4FF1">
        <w:rPr>
          <w:sz w:val="21"/>
          <w:szCs w:val="21"/>
        </w:rPr>
        <w:fldChar w:fldCharType="begin"/>
      </w:r>
      <w:r w:rsidR="00E34B45" w:rsidRPr="00C6116C">
        <w:rPr>
          <w:sz w:val="21"/>
          <w:szCs w:val="21"/>
        </w:rPr>
        <w:instrText xml:space="preserve"> TOC \o "1-3" \h \z \u </w:instrText>
      </w:r>
      <w:r w:rsidRPr="003F4FF1">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3F4FF1">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3F4FF1">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3F4FF1"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5014DE">
        <w:rPr>
          <w:rFonts w:asciiTheme="minorEastAsia" w:hAnsiTheme="minorEastAsia" w:hint="eastAsia"/>
          <w:sz w:val="24"/>
        </w:rPr>
        <w:t>广电计量2018年小功率座检定装置采购项目（第二次）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5014DE">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0C0E1B">
        <w:rPr>
          <w:rFonts w:asciiTheme="minorEastAsia" w:eastAsiaTheme="minorEastAsia" w:hAnsiTheme="minorEastAsia" w:hint="eastAsia"/>
          <w:bCs/>
          <w:sz w:val="24"/>
        </w:rPr>
        <w:t>GDJL-18/09-245</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5014DE">
        <w:rPr>
          <w:rFonts w:asciiTheme="minorEastAsia" w:hAnsiTheme="minorEastAsia" w:hint="eastAsia"/>
          <w:sz w:val="24"/>
        </w:rPr>
        <w:t>广电计量2018年小功率座检定装置采购项目（第二次）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BF3F74" w:rsidP="009F18FD">
            <w:pPr>
              <w:jc w:val="center"/>
            </w:pPr>
            <w:r>
              <w:rPr>
                <w:rFonts w:asciiTheme="minorEastAsia" w:hAnsiTheme="minorEastAsia" w:hint="eastAsia"/>
                <w:sz w:val="24"/>
              </w:rPr>
              <w:t>小功率座检定装置</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r w:rsidR="00BF3F74">
              <w:rPr>
                <w:rFonts w:ascii="宋体" w:hAnsi="宋体" w:cs="宋体" w:hint="eastAsia"/>
                <w:kern w:val="0"/>
                <w:sz w:val="24"/>
              </w:rPr>
              <w:t>套</w:t>
            </w:r>
          </w:p>
        </w:tc>
        <w:tc>
          <w:tcPr>
            <w:tcW w:w="1503" w:type="dxa"/>
            <w:shd w:val="clear" w:color="auto" w:fill="FFFFFF"/>
            <w:vAlign w:val="center"/>
          </w:tcPr>
          <w:p w:rsidR="009F18FD" w:rsidRPr="00C6116C" w:rsidRDefault="002A563B"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5014DE">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5014DE">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5014DE">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5014DE">
        <w:rPr>
          <w:rFonts w:asciiTheme="minorEastAsia" w:eastAsiaTheme="minorEastAsia" w:hAnsiTheme="minorEastAsia" w:hint="eastAsia"/>
          <w:sz w:val="24"/>
        </w:rPr>
        <w:t>8</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5014DE">
        <w:rPr>
          <w:rFonts w:asciiTheme="minorEastAsia" w:eastAsiaTheme="minorEastAsia" w:hAnsiTheme="minorEastAsia" w:hint="eastAsia"/>
          <w:sz w:val="24"/>
          <w:shd w:val="clear" w:color="auto" w:fill="FFFF00"/>
        </w:rPr>
        <w:t>21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5014DE">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5014DE"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广电计量2018年小功率座检定装置采购项目（第二次）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0C0E1B">
              <w:rPr>
                <w:rFonts w:asciiTheme="minorEastAsia" w:eastAsiaTheme="minorEastAsia" w:hAnsiTheme="minorEastAsia"/>
                <w:szCs w:val="21"/>
              </w:rPr>
              <w:t>GDJL-18/09-245</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5014DE">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5014DE">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5014DE">
              <w:rPr>
                <w:rFonts w:asciiTheme="minorEastAsia" w:eastAsiaTheme="minorEastAsia" w:hAnsiTheme="minorEastAsia" w:hint="eastAsia"/>
                <w:szCs w:val="21"/>
              </w:rPr>
              <w:t>8</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0C0E1B">
              <w:rPr>
                <w:rFonts w:asciiTheme="minorEastAsia" w:eastAsiaTheme="minorEastAsia" w:hAnsiTheme="minorEastAsia"/>
                <w:szCs w:val="21"/>
              </w:rPr>
              <w:t>GDJL-18/09-245</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5014DE">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5014DE">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5014DE">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5014DE">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5014DE">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F3F74" w:rsidRPr="00C6116C" w:rsidTr="00763A0E">
        <w:trPr>
          <w:trHeight w:val="478"/>
          <w:tblCellSpacing w:w="20" w:type="dxa"/>
        </w:trPr>
        <w:tc>
          <w:tcPr>
            <w:tcW w:w="2653" w:type="dxa"/>
            <w:shd w:val="clear" w:color="auto" w:fill="FFFFFF"/>
            <w:vAlign w:val="center"/>
            <w:hideMark/>
          </w:tcPr>
          <w:p w:rsidR="00BF3F74" w:rsidRPr="00C6116C" w:rsidRDefault="00BF3F74" w:rsidP="00763A0E">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F3F74" w:rsidRPr="00C6116C" w:rsidTr="00763A0E">
        <w:trPr>
          <w:trHeight w:val="70"/>
          <w:tblCellSpacing w:w="20" w:type="dxa"/>
        </w:trPr>
        <w:tc>
          <w:tcPr>
            <w:tcW w:w="2653" w:type="dxa"/>
            <w:shd w:val="clear" w:color="auto" w:fill="FFFFFF"/>
            <w:vAlign w:val="center"/>
            <w:hideMark/>
          </w:tcPr>
          <w:p w:rsidR="00BF3F74" w:rsidRDefault="00BF3F74" w:rsidP="00763A0E">
            <w:pPr>
              <w:jc w:val="center"/>
            </w:pPr>
            <w:r>
              <w:rPr>
                <w:rFonts w:asciiTheme="minorEastAsia" w:hAnsiTheme="minorEastAsia" w:hint="eastAsia"/>
                <w:sz w:val="24"/>
              </w:rPr>
              <w:t>小功率座检定装置</w:t>
            </w:r>
          </w:p>
        </w:tc>
        <w:tc>
          <w:tcPr>
            <w:tcW w:w="1449"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F3F74" w:rsidRPr="00C6116C" w:rsidRDefault="00BF3F74" w:rsidP="00763A0E">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BF3F74" w:rsidRPr="00C6116C" w:rsidTr="00A96BBB">
        <w:trPr>
          <w:trHeight w:val="1249"/>
        </w:trPr>
        <w:tc>
          <w:tcPr>
            <w:tcW w:w="1384" w:type="dxa"/>
            <w:vAlign w:val="center"/>
          </w:tcPr>
          <w:p w:rsidR="00BF3F74" w:rsidRPr="00C6116C" w:rsidRDefault="00BF3F74" w:rsidP="00B86ED3">
            <w:pPr>
              <w:spacing w:line="400" w:lineRule="exact"/>
              <w:jc w:val="center"/>
              <w:rPr>
                <w:sz w:val="24"/>
              </w:rPr>
            </w:pPr>
            <w:r w:rsidRPr="00C6116C">
              <w:rPr>
                <w:sz w:val="24"/>
              </w:rPr>
              <w:t>项目要求</w:t>
            </w:r>
          </w:p>
          <w:p w:rsidR="00BF3F74" w:rsidRPr="00C6116C" w:rsidRDefault="00BF3F74" w:rsidP="00B86ED3">
            <w:pPr>
              <w:spacing w:line="400" w:lineRule="exact"/>
              <w:jc w:val="center"/>
              <w:rPr>
                <w:sz w:val="24"/>
              </w:rPr>
            </w:pPr>
            <w:r w:rsidRPr="00C6116C">
              <w:rPr>
                <w:sz w:val="24"/>
              </w:rPr>
              <w:t>技术指标</w:t>
            </w:r>
          </w:p>
        </w:tc>
        <w:tc>
          <w:tcPr>
            <w:tcW w:w="7872" w:type="dxa"/>
          </w:tcPr>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一、外观要求</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外型美观，无破损</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二、功能指标要求</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装置满足JJG(军工)48-2014小功率座检定规程</w:t>
            </w:r>
            <w:r w:rsidRPr="00BF3F74">
              <w:rPr>
                <w:rFonts w:asciiTheme="minorEastAsia" w:eastAsiaTheme="minorEastAsia" w:hAnsiTheme="minorEastAsia" w:hint="eastAsia"/>
                <w:color w:val="FF0000"/>
                <w:sz w:val="24"/>
              </w:rPr>
              <w:t>中“校准因子”参数传递标准法的计量要求。不配置信号发生器。</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三、性能指标要求</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1、频率范围：</w:t>
            </w:r>
            <w:r w:rsidRPr="00BF3F74">
              <w:rPr>
                <w:rFonts w:asciiTheme="minorEastAsia" w:eastAsiaTheme="minorEastAsia" w:hAnsiTheme="minorEastAsia" w:hint="eastAsia"/>
                <w:color w:val="FF0000"/>
                <w:sz w:val="24"/>
              </w:rPr>
              <w:t>10kHz</w:t>
            </w:r>
            <w:r w:rsidRPr="00BF3F74">
              <w:rPr>
                <w:rFonts w:asciiTheme="minorEastAsia" w:eastAsiaTheme="minorEastAsia" w:hAnsiTheme="minorEastAsia" w:hint="eastAsia"/>
                <w:sz w:val="24"/>
              </w:rPr>
              <w:t>~50GHz</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2、电压驻波比：＜1.3</w:t>
            </w:r>
          </w:p>
          <w:p w:rsidR="00BF3F74" w:rsidRPr="00BF3F74" w:rsidRDefault="00BF3F74" w:rsidP="00BF3F74">
            <w:pPr>
              <w:tabs>
                <w:tab w:val="left" w:pos="792"/>
              </w:tabs>
              <w:spacing w:line="360" w:lineRule="auto"/>
              <w:rPr>
                <w:rFonts w:asciiTheme="minorEastAsia" w:eastAsiaTheme="minorEastAsia" w:hAnsiTheme="minorEastAsia" w:cs="CenturyGothic"/>
                <w:color w:val="231F20"/>
                <w:kern w:val="0"/>
                <w:sz w:val="24"/>
              </w:rPr>
            </w:pPr>
            <w:r w:rsidRPr="00BF3F74">
              <w:rPr>
                <w:rFonts w:asciiTheme="minorEastAsia" w:eastAsiaTheme="minorEastAsia" w:hAnsiTheme="minorEastAsia" w:cs="CenturyGothic" w:hint="eastAsia"/>
                <w:color w:val="231F20"/>
                <w:kern w:val="0"/>
                <w:sz w:val="24"/>
              </w:rPr>
              <w:t>3、传递标准校准因子准确度：＜5%</w:t>
            </w:r>
          </w:p>
          <w:p w:rsidR="00BF3F74" w:rsidRPr="00BF3F74" w:rsidRDefault="00BF3F74" w:rsidP="00BF3F74">
            <w:pPr>
              <w:tabs>
                <w:tab w:val="left" w:pos="792"/>
              </w:tabs>
              <w:spacing w:line="360" w:lineRule="auto"/>
              <w:rPr>
                <w:rFonts w:asciiTheme="minorEastAsia" w:eastAsiaTheme="minorEastAsia" w:hAnsiTheme="minorEastAsia" w:cs="CenturyGothic"/>
                <w:color w:val="231F20"/>
                <w:kern w:val="0"/>
                <w:sz w:val="24"/>
              </w:rPr>
            </w:pPr>
            <w:r w:rsidRPr="00BF3F74">
              <w:rPr>
                <w:rFonts w:asciiTheme="minorEastAsia" w:eastAsiaTheme="minorEastAsia" w:hAnsiTheme="minorEastAsia" w:cs="CenturyGothic" w:hint="eastAsia"/>
                <w:color w:val="231F20"/>
                <w:kern w:val="0"/>
                <w:sz w:val="24"/>
              </w:rPr>
              <w:t>4、功率线性度：</w:t>
            </w:r>
          </w:p>
          <w:p w:rsidR="00BF3F74" w:rsidRPr="00BF3F74" w:rsidRDefault="00BF3F74" w:rsidP="00BF3F74">
            <w:pPr>
              <w:tabs>
                <w:tab w:val="left" w:pos="792"/>
              </w:tabs>
              <w:spacing w:line="360" w:lineRule="auto"/>
              <w:ind w:firstLineChars="100" w:firstLine="240"/>
              <w:rPr>
                <w:rFonts w:asciiTheme="minorEastAsia" w:eastAsiaTheme="minorEastAsia" w:hAnsiTheme="minorEastAsia" w:cs="CenturyGothic"/>
                <w:color w:val="231F20"/>
                <w:kern w:val="0"/>
                <w:sz w:val="24"/>
              </w:rPr>
            </w:pPr>
            <w:r w:rsidRPr="00BF3F74">
              <w:rPr>
                <w:rFonts w:asciiTheme="minorEastAsia" w:eastAsiaTheme="minorEastAsia" w:hAnsiTheme="minorEastAsia" w:cs="CenturyGothic"/>
                <w:color w:val="231F20"/>
                <w:kern w:val="0"/>
                <w:sz w:val="24"/>
              </w:rPr>
              <w:t>&lt;0.1</w:t>
            </w:r>
            <w:r w:rsidRPr="00BF3F74">
              <w:rPr>
                <w:rFonts w:asciiTheme="minorEastAsia" w:eastAsiaTheme="minorEastAsia" w:hAnsiTheme="minorEastAsia" w:cs="CenturyGothic" w:hint="eastAsia"/>
                <w:color w:val="231F20"/>
                <w:kern w:val="0"/>
                <w:sz w:val="24"/>
              </w:rPr>
              <w:t>1</w:t>
            </w:r>
            <w:r w:rsidRPr="00BF3F74">
              <w:rPr>
                <w:rFonts w:asciiTheme="minorEastAsia" w:eastAsiaTheme="minorEastAsia" w:hAnsiTheme="minorEastAsia" w:cs="CenturyGothic"/>
                <w:color w:val="231F20"/>
                <w:kern w:val="0"/>
                <w:sz w:val="24"/>
              </w:rPr>
              <w:t xml:space="preserve"> % from 1 to 10 mW</w:t>
            </w:r>
          </w:p>
          <w:p w:rsidR="00BF3F74" w:rsidRPr="00BF3F74" w:rsidRDefault="00BF3F74" w:rsidP="00BF3F74">
            <w:pPr>
              <w:tabs>
                <w:tab w:val="left" w:pos="792"/>
              </w:tabs>
              <w:spacing w:line="360" w:lineRule="auto"/>
              <w:rPr>
                <w:rFonts w:asciiTheme="minorEastAsia" w:eastAsiaTheme="minorEastAsia" w:hAnsiTheme="minorEastAsia" w:cs="CenturyGothic"/>
                <w:color w:val="231F20"/>
                <w:kern w:val="0"/>
                <w:sz w:val="24"/>
              </w:rPr>
            </w:pPr>
            <w:r w:rsidRPr="00BF3F74">
              <w:rPr>
                <w:rFonts w:asciiTheme="minorEastAsia" w:eastAsiaTheme="minorEastAsia" w:hAnsiTheme="minorEastAsia" w:cs="黑体" w:hint="eastAsia"/>
                <w:color w:val="231F20"/>
                <w:kern w:val="0"/>
                <w:sz w:val="24"/>
              </w:rPr>
              <w:t>5、功率计测量范围：</w:t>
            </w:r>
            <w:r w:rsidRPr="00BF3F74">
              <w:rPr>
                <w:rFonts w:asciiTheme="minorEastAsia" w:eastAsiaTheme="minorEastAsia" w:hAnsiTheme="minorEastAsia" w:cs="CenturyGothic"/>
                <w:color w:val="231F20"/>
                <w:kern w:val="0"/>
                <w:sz w:val="24"/>
              </w:rPr>
              <w:t>-30</w:t>
            </w:r>
            <w:r w:rsidRPr="00BF3F74">
              <w:rPr>
                <w:rFonts w:asciiTheme="minorEastAsia" w:eastAsiaTheme="minorEastAsia" w:hAnsiTheme="minorEastAsia" w:cs="黑体" w:hint="eastAsia"/>
                <w:color w:val="231F20"/>
                <w:kern w:val="0"/>
                <w:sz w:val="24"/>
              </w:rPr>
              <w:t>到</w:t>
            </w:r>
            <w:r w:rsidRPr="00BF3F74">
              <w:rPr>
                <w:rFonts w:asciiTheme="minorEastAsia" w:eastAsiaTheme="minorEastAsia" w:hAnsiTheme="minorEastAsia" w:cs="CenturyGothic"/>
                <w:color w:val="231F20"/>
                <w:kern w:val="0"/>
                <w:sz w:val="24"/>
              </w:rPr>
              <w:t>+1</w:t>
            </w:r>
            <w:r w:rsidRPr="00BF3F74">
              <w:rPr>
                <w:rFonts w:asciiTheme="minorEastAsia" w:eastAsiaTheme="minorEastAsia" w:hAnsiTheme="minorEastAsia" w:cs="CenturyGothic" w:hint="eastAsia"/>
                <w:color w:val="231F20"/>
                <w:kern w:val="0"/>
                <w:sz w:val="24"/>
              </w:rPr>
              <w:t>3</w:t>
            </w:r>
            <w:r w:rsidRPr="00BF3F74">
              <w:rPr>
                <w:rFonts w:asciiTheme="minorEastAsia" w:eastAsiaTheme="minorEastAsia" w:hAnsiTheme="minorEastAsia" w:cs="CenturyGothic"/>
                <w:color w:val="231F20"/>
                <w:kern w:val="0"/>
                <w:sz w:val="24"/>
              </w:rPr>
              <w:t xml:space="preserve"> dBm</w:t>
            </w:r>
          </w:p>
          <w:p w:rsidR="00BF3F74" w:rsidRPr="00BF3F74" w:rsidRDefault="00BF3F74" w:rsidP="00BF3F74">
            <w:pPr>
              <w:tabs>
                <w:tab w:val="left" w:pos="792"/>
              </w:tabs>
              <w:spacing w:line="360" w:lineRule="auto"/>
              <w:rPr>
                <w:rFonts w:asciiTheme="minorEastAsia" w:eastAsiaTheme="minorEastAsia" w:hAnsiTheme="minorEastAsia" w:cs="CenturyGothic"/>
                <w:color w:val="231F20"/>
                <w:kern w:val="0"/>
                <w:sz w:val="24"/>
              </w:rPr>
            </w:pPr>
            <w:r w:rsidRPr="00BF3F74">
              <w:rPr>
                <w:rFonts w:asciiTheme="minorEastAsia" w:eastAsiaTheme="minorEastAsia" w:hAnsiTheme="minorEastAsia" w:cs="CenturyGothic" w:hint="eastAsia"/>
                <w:color w:val="231F20"/>
                <w:kern w:val="0"/>
                <w:sz w:val="24"/>
              </w:rPr>
              <w:t>6、功率计频率范围：9kHz~50GHz</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cs="CenturyGothic" w:hint="eastAsia"/>
                <w:color w:val="231F20"/>
                <w:kern w:val="0"/>
                <w:sz w:val="24"/>
              </w:rPr>
              <w:t>7、功率计读数准确度：</w:t>
            </w:r>
            <w:r w:rsidRPr="00BF3F74">
              <w:rPr>
                <w:rFonts w:asciiTheme="minorEastAsia" w:eastAsiaTheme="minorEastAsia" w:hAnsiTheme="minorEastAsia" w:cs="黑体" w:hint="eastAsia"/>
                <w:color w:val="231F20"/>
                <w:kern w:val="0"/>
                <w:sz w:val="24"/>
              </w:rPr>
              <w:t>读数的</w:t>
            </w:r>
            <w:r w:rsidRPr="00BF3F74">
              <w:rPr>
                <w:rFonts w:asciiTheme="minorEastAsia" w:eastAsiaTheme="minorEastAsia" w:hAnsiTheme="minorEastAsia" w:cs="CenturyGothic"/>
                <w:color w:val="231F20"/>
                <w:kern w:val="0"/>
                <w:sz w:val="24"/>
              </w:rPr>
              <w:t>±0.5</w:t>
            </w:r>
            <w:r w:rsidRPr="00BF3F74">
              <w:rPr>
                <w:rFonts w:asciiTheme="minorEastAsia" w:eastAsiaTheme="minorEastAsia" w:hAnsiTheme="minorEastAsia" w:cs="黑体" w:hint="eastAsia"/>
                <w:color w:val="231F20"/>
                <w:kern w:val="0"/>
                <w:sz w:val="24"/>
              </w:rPr>
              <w:t>％</w:t>
            </w:r>
            <w:r w:rsidRPr="00BF3F74">
              <w:rPr>
                <w:rFonts w:asciiTheme="minorEastAsia" w:eastAsiaTheme="minorEastAsia" w:hAnsiTheme="minorEastAsia" w:cs="CenturyGothic"/>
                <w:color w:val="231F20"/>
                <w:kern w:val="0"/>
                <w:sz w:val="24"/>
              </w:rPr>
              <w:t>±</w:t>
            </w:r>
            <w:r w:rsidRPr="00BF3F74">
              <w:rPr>
                <w:rFonts w:asciiTheme="minorEastAsia" w:eastAsiaTheme="minorEastAsia" w:hAnsiTheme="minorEastAsia" w:cs="CenturyGothic" w:hint="eastAsia"/>
                <w:color w:val="231F20"/>
                <w:kern w:val="0"/>
                <w:sz w:val="24"/>
              </w:rPr>
              <w:t>5</w:t>
            </w:r>
            <w:r w:rsidRPr="00BF3F74">
              <w:rPr>
                <w:rFonts w:asciiTheme="minorEastAsia" w:eastAsiaTheme="minorEastAsia" w:hAnsiTheme="minorEastAsia" w:cs="黑体" w:hint="eastAsia"/>
                <w:color w:val="231F20"/>
                <w:kern w:val="0"/>
                <w:sz w:val="24"/>
              </w:rPr>
              <w:t>微瓦</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四、配件或选件要求</w:t>
            </w:r>
          </w:p>
          <w:p w:rsidR="00BF3F74" w:rsidRPr="00BF3F74" w:rsidRDefault="00BF3F74" w:rsidP="00BF3F74">
            <w:pPr>
              <w:autoSpaceDE w:val="0"/>
              <w:autoSpaceDN w:val="0"/>
              <w:adjustRightInd w:val="0"/>
              <w:spacing w:line="360" w:lineRule="auto"/>
              <w:jc w:val="left"/>
              <w:rPr>
                <w:rFonts w:asciiTheme="minorEastAsia" w:eastAsiaTheme="minorEastAsia" w:hAnsiTheme="minorEastAsia"/>
                <w:sz w:val="24"/>
              </w:rPr>
            </w:pPr>
            <w:r w:rsidRPr="00BF3F74">
              <w:rPr>
                <w:rFonts w:asciiTheme="minorEastAsia" w:eastAsiaTheme="minorEastAsia" w:hAnsiTheme="minorEastAsia" w:hint="eastAsia"/>
                <w:sz w:val="24"/>
              </w:rPr>
              <w:t>转接头：</w:t>
            </w:r>
          </w:p>
          <w:p w:rsidR="00BF3F74" w:rsidRPr="00BF3F74" w:rsidRDefault="00BF3F74" w:rsidP="00BF3F74">
            <w:pPr>
              <w:autoSpaceDE w:val="0"/>
              <w:autoSpaceDN w:val="0"/>
              <w:adjustRightInd w:val="0"/>
              <w:spacing w:line="360" w:lineRule="auto"/>
              <w:jc w:val="left"/>
              <w:rPr>
                <w:rFonts w:asciiTheme="minorEastAsia" w:eastAsiaTheme="minorEastAsia" w:hAnsiTheme="minorEastAsia" w:cs="黑体"/>
                <w:color w:val="231F20"/>
                <w:kern w:val="0"/>
                <w:sz w:val="24"/>
              </w:rPr>
            </w:pPr>
            <w:r w:rsidRPr="00BF3F74">
              <w:rPr>
                <w:rFonts w:asciiTheme="minorEastAsia" w:eastAsiaTheme="minorEastAsia" w:hAnsiTheme="minorEastAsia" w:cs="CenturyGothic"/>
                <w:color w:val="231F20"/>
                <w:kern w:val="0"/>
                <w:sz w:val="24"/>
              </w:rPr>
              <w:t>2.4mm(F) to 2.92mm(M)</w:t>
            </w:r>
          </w:p>
          <w:p w:rsidR="00BF3F74" w:rsidRPr="00BF3F74" w:rsidRDefault="00BF3F74" w:rsidP="00BF3F74">
            <w:pPr>
              <w:autoSpaceDE w:val="0"/>
              <w:autoSpaceDN w:val="0"/>
              <w:adjustRightInd w:val="0"/>
              <w:spacing w:line="360" w:lineRule="auto"/>
              <w:jc w:val="left"/>
              <w:rPr>
                <w:rFonts w:asciiTheme="minorEastAsia" w:eastAsiaTheme="minorEastAsia" w:hAnsiTheme="minorEastAsia" w:cs="黑体"/>
                <w:color w:val="231F20"/>
                <w:kern w:val="0"/>
                <w:sz w:val="24"/>
              </w:rPr>
            </w:pPr>
            <w:r w:rsidRPr="00BF3F74">
              <w:rPr>
                <w:rFonts w:asciiTheme="minorEastAsia" w:eastAsiaTheme="minorEastAsia" w:hAnsiTheme="minorEastAsia" w:cs="CenturyGothic"/>
                <w:color w:val="231F20"/>
                <w:kern w:val="0"/>
                <w:sz w:val="24"/>
              </w:rPr>
              <w:t>2.4mm(F) to 3.5mm(M)</w:t>
            </w:r>
          </w:p>
          <w:p w:rsidR="00BF3F74" w:rsidRPr="00BF3F74" w:rsidRDefault="00BF3F74" w:rsidP="00BF3F74">
            <w:pPr>
              <w:autoSpaceDE w:val="0"/>
              <w:autoSpaceDN w:val="0"/>
              <w:adjustRightInd w:val="0"/>
              <w:spacing w:line="360" w:lineRule="auto"/>
              <w:jc w:val="left"/>
              <w:rPr>
                <w:rFonts w:asciiTheme="minorEastAsia" w:eastAsiaTheme="minorEastAsia" w:hAnsiTheme="minorEastAsia" w:cs="黑体"/>
                <w:color w:val="231F20"/>
                <w:kern w:val="0"/>
                <w:sz w:val="24"/>
              </w:rPr>
            </w:pPr>
            <w:r w:rsidRPr="00BF3F74">
              <w:rPr>
                <w:rFonts w:asciiTheme="minorEastAsia" w:eastAsiaTheme="minorEastAsia" w:hAnsiTheme="minorEastAsia" w:cs="CenturyGothic"/>
                <w:color w:val="231F20"/>
                <w:kern w:val="0"/>
                <w:sz w:val="24"/>
              </w:rPr>
              <w:t>2.4mm(M) to 2.92mm(F)</w:t>
            </w:r>
          </w:p>
          <w:p w:rsidR="00BF3F74" w:rsidRPr="00BF3F74" w:rsidRDefault="00BF3F74" w:rsidP="00BF3F74">
            <w:pPr>
              <w:autoSpaceDE w:val="0"/>
              <w:autoSpaceDN w:val="0"/>
              <w:adjustRightInd w:val="0"/>
              <w:spacing w:line="360" w:lineRule="auto"/>
              <w:jc w:val="left"/>
              <w:rPr>
                <w:rFonts w:asciiTheme="minorEastAsia" w:eastAsiaTheme="minorEastAsia" w:hAnsiTheme="minorEastAsia" w:cs="黑体"/>
                <w:color w:val="231F20"/>
                <w:kern w:val="0"/>
                <w:sz w:val="24"/>
              </w:rPr>
            </w:pPr>
            <w:r w:rsidRPr="00BF3F74">
              <w:rPr>
                <w:rFonts w:asciiTheme="minorEastAsia" w:eastAsiaTheme="minorEastAsia" w:hAnsiTheme="minorEastAsia" w:cs="CenturyGothic"/>
                <w:color w:val="231F20"/>
                <w:kern w:val="0"/>
                <w:sz w:val="24"/>
              </w:rPr>
              <w:t>2.4mm(M) to 3.5mm(F)</w:t>
            </w:r>
          </w:p>
          <w:p w:rsidR="00BF3F74" w:rsidRPr="00BF3F74" w:rsidRDefault="00BF3F74" w:rsidP="00BF3F74">
            <w:pPr>
              <w:tabs>
                <w:tab w:val="left" w:pos="792"/>
              </w:tabs>
              <w:spacing w:line="360" w:lineRule="auto"/>
              <w:rPr>
                <w:rFonts w:asciiTheme="minorEastAsia" w:eastAsiaTheme="minorEastAsia" w:hAnsiTheme="minorEastAsia" w:cs="CenturyGothic"/>
                <w:color w:val="231F20"/>
                <w:kern w:val="0"/>
                <w:sz w:val="24"/>
              </w:rPr>
            </w:pPr>
            <w:r w:rsidRPr="00BF3F74">
              <w:rPr>
                <w:rFonts w:asciiTheme="minorEastAsia" w:eastAsiaTheme="minorEastAsia" w:hAnsiTheme="minorEastAsia" w:cs="CenturyGothic"/>
                <w:color w:val="231F20"/>
                <w:kern w:val="0"/>
                <w:sz w:val="24"/>
              </w:rPr>
              <w:t>2.4mm (M to F) 30dB</w:t>
            </w:r>
            <w:r w:rsidRPr="00BF3F74">
              <w:rPr>
                <w:rFonts w:asciiTheme="minorEastAsia" w:eastAsiaTheme="minorEastAsia" w:hAnsiTheme="minorEastAsia" w:cs="CenturyGothic" w:hint="eastAsia"/>
                <w:color w:val="231F20"/>
                <w:kern w:val="0"/>
                <w:sz w:val="24"/>
              </w:rPr>
              <w:t xml:space="preserve"> 衰减器</w:t>
            </w:r>
          </w:p>
          <w:p w:rsidR="00BF3F74" w:rsidRPr="00BF3F74" w:rsidRDefault="00BF3F74" w:rsidP="00BF3F74">
            <w:pPr>
              <w:tabs>
                <w:tab w:val="left" w:pos="792"/>
              </w:tabs>
              <w:spacing w:line="360" w:lineRule="auto"/>
              <w:rPr>
                <w:rFonts w:asciiTheme="minorEastAsia" w:eastAsiaTheme="minorEastAsia" w:hAnsiTheme="minorEastAsia" w:cs="CenturyGothic"/>
                <w:color w:val="231F20"/>
                <w:kern w:val="0"/>
                <w:sz w:val="24"/>
              </w:rPr>
            </w:pPr>
            <w:r w:rsidRPr="00BF3F74">
              <w:rPr>
                <w:rFonts w:asciiTheme="minorEastAsia" w:eastAsiaTheme="minorEastAsia" w:hAnsiTheme="minorEastAsia" w:cs="CenturyGothic" w:hint="eastAsia"/>
                <w:color w:val="231F20"/>
                <w:kern w:val="0"/>
                <w:sz w:val="24"/>
              </w:rPr>
              <w:t>连接线：</w:t>
            </w:r>
            <w:r w:rsidRPr="00BF3F74">
              <w:rPr>
                <w:rFonts w:asciiTheme="minorEastAsia" w:eastAsiaTheme="minorEastAsia" w:hAnsiTheme="minorEastAsia" w:cs="CenturyGothic" w:hint="eastAsia"/>
                <w:color w:val="FF0000"/>
                <w:kern w:val="0"/>
                <w:sz w:val="24"/>
              </w:rPr>
              <w:t>配置齐全系统正常运行所需要的测试线，包含信号发生器到本装置的测试电缆。</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五、安装调试要求</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仪器软件、选件均应安装完全，能直接使用</w:t>
            </w:r>
          </w:p>
          <w:p w:rsidR="00BF3F74" w:rsidRPr="00BF3F74" w:rsidRDefault="00BF3F74" w:rsidP="00BF3F74">
            <w:pPr>
              <w:tabs>
                <w:tab w:val="left" w:pos="792"/>
              </w:tabs>
              <w:spacing w:line="360" w:lineRule="auto"/>
              <w:rPr>
                <w:rFonts w:asciiTheme="minorEastAsia" w:eastAsiaTheme="minorEastAsia" w:hAnsiTheme="minorEastAsia"/>
                <w:sz w:val="24"/>
              </w:rPr>
            </w:pP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六、溯源要求</w:t>
            </w:r>
          </w:p>
          <w:p w:rsidR="00BF3F74" w:rsidRPr="00BF3F74" w:rsidRDefault="00BF3F74" w:rsidP="00BF3F74">
            <w:pPr>
              <w:tabs>
                <w:tab w:val="left" w:pos="792"/>
              </w:tabs>
              <w:spacing w:line="360" w:lineRule="auto"/>
              <w:rPr>
                <w:rFonts w:asciiTheme="minorEastAsia" w:eastAsiaTheme="minorEastAsia" w:hAnsiTheme="minorEastAsia"/>
                <w:sz w:val="24"/>
              </w:rPr>
            </w:pPr>
            <w:r w:rsidRPr="00BF3F74">
              <w:rPr>
                <w:rFonts w:asciiTheme="minorEastAsia" w:eastAsiaTheme="minorEastAsia" w:hAnsiTheme="minorEastAsia" w:hint="eastAsia"/>
                <w:sz w:val="24"/>
              </w:rPr>
              <w:t>溯源到203所，需计量校准因子及驻波比；</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0C0E1B">
        <w:rPr>
          <w:rFonts w:ascii="宋体" w:hAnsi="宋体" w:hint="eastAsia"/>
          <w:sz w:val="24"/>
        </w:rPr>
        <w:t>GDJL-18/09-245</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5014DE">
        <w:rPr>
          <w:rFonts w:asciiTheme="minorEastAsia" w:hAnsiTheme="minorEastAsia" w:hint="eastAsia"/>
          <w:sz w:val="24"/>
        </w:rPr>
        <w:t>广电计量2018年小功率座检定装置采购项目（第二次）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0C0E1B">
        <w:rPr>
          <w:rFonts w:ascii="宋体" w:hAnsi="宋体" w:hint="eastAsia"/>
          <w:sz w:val="24"/>
        </w:rPr>
        <w:t>GDJL-18/09-245</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0C0E1B">
        <w:rPr>
          <w:rFonts w:ascii="宋体" w:hAnsi="宋体" w:hint="eastAsia"/>
          <w:bCs/>
          <w:sz w:val="24"/>
        </w:rPr>
        <w:t>GDJL-18/09-245</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4D1" w:rsidRDefault="001514D1" w:rsidP="004E6772">
      <w:r>
        <w:separator/>
      </w:r>
    </w:p>
  </w:endnote>
  <w:endnote w:type="continuationSeparator" w:id="1">
    <w:p w:rsidR="001514D1" w:rsidRDefault="001514D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enturyGoth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Default="000C0E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C0E1B" w:rsidRDefault="000C0E1B">
            <w:pPr>
              <w:pStyle w:val="a5"/>
              <w:jc w:val="center"/>
            </w:pPr>
            <w:r>
              <w:rPr>
                <w:lang w:val="zh-CN"/>
              </w:rPr>
              <w:t xml:space="preserve"> </w:t>
            </w:r>
            <w:r w:rsidR="003F4FF1">
              <w:rPr>
                <w:b/>
                <w:sz w:val="24"/>
                <w:szCs w:val="24"/>
              </w:rPr>
              <w:fldChar w:fldCharType="begin"/>
            </w:r>
            <w:r>
              <w:rPr>
                <w:b/>
              </w:rPr>
              <w:instrText>PAGE</w:instrText>
            </w:r>
            <w:r w:rsidR="003F4FF1">
              <w:rPr>
                <w:b/>
                <w:sz w:val="24"/>
                <w:szCs w:val="24"/>
              </w:rPr>
              <w:fldChar w:fldCharType="separate"/>
            </w:r>
            <w:r w:rsidR="005014DE">
              <w:rPr>
                <w:b/>
                <w:noProof/>
              </w:rPr>
              <w:t>5</w:t>
            </w:r>
            <w:r w:rsidR="003F4FF1">
              <w:rPr>
                <w:b/>
                <w:sz w:val="24"/>
                <w:szCs w:val="24"/>
              </w:rPr>
              <w:fldChar w:fldCharType="end"/>
            </w:r>
            <w:r>
              <w:rPr>
                <w:lang w:val="zh-CN"/>
              </w:rPr>
              <w:t xml:space="preserve"> / </w:t>
            </w:r>
            <w:r w:rsidR="003F4FF1">
              <w:rPr>
                <w:b/>
                <w:sz w:val="24"/>
                <w:szCs w:val="24"/>
              </w:rPr>
              <w:fldChar w:fldCharType="begin"/>
            </w:r>
            <w:r>
              <w:rPr>
                <w:b/>
              </w:rPr>
              <w:instrText>NUMPAGES</w:instrText>
            </w:r>
            <w:r w:rsidR="003F4FF1">
              <w:rPr>
                <w:b/>
                <w:sz w:val="24"/>
                <w:szCs w:val="24"/>
              </w:rPr>
              <w:fldChar w:fldCharType="separate"/>
            </w:r>
            <w:r w:rsidR="005014DE">
              <w:rPr>
                <w:b/>
                <w:noProof/>
              </w:rPr>
              <w:t>47</w:t>
            </w:r>
            <w:r w:rsidR="003F4FF1">
              <w:rPr>
                <w:b/>
                <w:sz w:val="24"/>
                <w:szCs w:val="24"/>
              </w:rPr>
              <w:fldChar w:fldCharType="end"/>
            </w:r>
          </w:p>
        </w:sdtContent>
      </w:sdt>
    </w:sdtContent>
  </w:sdt>
  <w:p w:rsidR="000C0E1B" w:rsidRDefault="000C0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4D1" w:rsidRDefault="001514D1" w:rsidP="004E6772">
      <w:r>
        <w:separator/>
      </w:r>
    </w:p>
  </w:footnote>
  <w:footnote w:type="continuationSeparator" w:id="1">
    <w:p w:rsidR="001514D1" w:rsidRDefault="001514D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Pr="00054CF2" w:rsidRDefault="000C0E1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广电计量2018年小功率座检定装置采购项目</w:t>
    </w:r>
    <w:r w:rsidR="005014DE">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1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14D1"/>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EB9"/>
    <w:rsid w:val="003E4C9C"/>
    <w:rsid w:val="003E76A6"/>
    <w:rsid w:val="003E7D94"/>
    <w:rsid w:val="003F434B"/>
    <w:rsid w:val="003F4FF1"/>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14DE"/>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6E40"/>
    <w:rsid w:val="007E4589"/>
    <w:rsid w:val="007E5BD1"/>
    <w:rsid w:val="007E7484"/>
    <w:rsid w:val="007F7F2B"/>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600"/>
    <w:rsid w:val="00857F1C"/>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1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47</Pages>
  <Words>4379</Words>
  <Characters>24961</Characters>
  <Application>Microsoft Office Word</Application>
  <DocSecurity>0</DocSecurity>
  <Lines>208</Lines>
  <Paragraphs>58</Paragraphs>
  <ScaleCrop>false</ScaleCrop>
  <Company>Lenovo</Company>
  <LinksUpToDate>false</LinksUpToDate>
  <CharactersWithSpaces>29282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29</cp:revision>
  <cp:lastPrinted>2015-12-14T05:56:00Z</cp:lastPrinted>
  <dcterms:created xsi:type="dcterms:W3CDTF">2018-05-17T01:43:00Z</dcterms:created>
  <dcterms:modified xsi:type="dcterms:W3CDTF">2018-09-13T01:07:00Z</dcterms:modified>
</cp:coreProperties>
</file>