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C73D9E" w:rsidP="001A7A6B">
      <w:pPr>
        <w:spacing w:line="360" w:lineRule="auto"/>
        <w:jc w:val="center"/>
        <w:rPr>
          <w:b/>
          <w:bCs/>
          <w:sz w:val="44"/>
        </w:rPr>
      </w:pPr>
      <w:r>
        <w:rPr>
          <w:rFonts w:ascii="宋体" w:hAnsi="宋体" w:cs="宋体" w:hint="eastAsia"/>
          <w:b/>
          <w:kern w:val="0"/>
          <w:sz w:val="44"/>
          <w:szCs w:val="44"/>
        </w:rPr>
        <w:t>广电计量2018年浪涌、脉冲</w:t>
      </w:r>
      <w:proofErr w:type="gramStart"/>
      <w:r>
        <w:rPr>
          <w:rFonts w:ascii="宋体" w:hAnsi="宋体" w:cs="宋体" w:hint="eastAsia"/>
          <w:b/>
          <w:kern w:val="0"/>
          <w:sz w:val="44"/>
          <w:szCs w:val="44"/>
        </w:rPr>
        <w:t>群设备</w:t>
      </w:r>
      <w:proofErr w:type="gramEnd"/>
      <w:r>
        <w:rPr>
          <w:rFonts w:ascii="宋体" w:hAnsi="宋体" w:cs="宋体" w:hint="eastAsia"/>
          <w:b/>
          <w:kern w:val="0"/>
          <w:sz w:val="44"/>
          <w:szCs w:val="44"/>
        </w:rPr>
        <w:t>及民品附件采购项目</w:t>
      </w:r>
    </w:p>
    <w:p w:rsidR="001A7A6B" w:rsidRPr="00C73D9E" w:rsidRDefault="001A7A6B" w:rsidP="001A7A6B">
      <w:pPr>
        <w:spacing w:line="360" w:lineRule="auto"/>
        <w:jc w:val="center"/>
        <w:rPr>
          <w:b/>
          <w:bCs/>
          <w:sz w:val="44"/>
        </w:rPr>
      </w:pPr>
    </w:p>
    <w:p w:rsidR="001A7A6B" w:rsidRPr="001F681D"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C73D9E">
        <w:rPr>
          <w:rFonts w:ascii="仿宋_GB2312" w:eastAsia="仿宋_GB2312" w:hint="eastAsia"/>
          <w:b/>
          <w:color w:val="000000" w:themeColor="text1"/>
          <w:sz w:val="36"/>
          <w:szCs w:val="36"/>
        </w:rPr>
        <w:t>GDJL-18/11-320</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w:t>
      </w:r>
      <w:r w:rsidR="00D43485">
        <w:rPr>
          <w:rFonts w:asciiTheme="minorEastAsia" w:hAnsiTheme="minorEastAsia" w:hint="eastAsia"/>
          <w:b/>
          <w:bCs/>
          <w:sz w:val="36"/>
          <w:szCs w:val="36"/>
        </w:rPr>
        <w:t>2</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B162DC" w:rsidP="001A7A6B">
      <w:pPr>
        <w:pStyle w:val="10"/>
        <w:tabs>
          <w:tab w:val="right" w:leader="dot" w:pos="9402"/>
        </w:tabs>
        <w:rPr>
          <w:rFonts w:eastAsiaTheme="minorEastAsia" w:cstheme="minorBidi"/>
          <w:b w:val="0"/>
          <w:bCs w:val="0"/>
          <w:caps w:val="0"/>
          <w:noProof/>
          <w:sz w:val="21"/>
          <w:szCs w:val="22"/>
        </w:rPr>
      </w:pPr>
      <w:r w:rsidRPr="00B162DC">
        <w:rPr>
          <w:sz w:val="21"/>
          <w:szCs w:val="21"/>
        </w:rPr>
        <w:fldChar w:fldCharType="begin"/>
      </w:r>
      <w:r w:rsidR="001A7A6B" w:rsidRPr="00C6116C">
        <w:rPr>
          <w:sz w:val="21"/>
          <w:szCs w:val="21"/>
        </w:rPr>
        <w:instrText xml:space="preserve"> TOC \o "1-3" \h \z \u </w:instrText>
      </w:r>
      <w:r w:rsidRPr="00B162DC">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B162DC"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B162DC"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B162DC"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C73D9E">
        <w:rPr>
          <w:rFonts w:asciiTheme="minorEastAsia" w:hAnsiTheme="minorEastAsia" w:hint="eastAsia"/>
          <w:sz w:val="24"/>
        </w:rPr>
        <w:t>广电计量2018年浪涌、脉冲</w:t>
      </w:r>
      <w:proofErr w:type="gramStart"/>
      <w:r w:rsidR="00C73D9E">
        <w:rPr>
          <w:rFonts w:asciiTheme="minorEastAsia" w:hAnsiTheme="minorEastAsia" w:hint="eastAsia"/>
          <w:sz w:val="24"/>
        </w:rPr>
        <w:t>群设备</w:t>
      </w:r>
      <w:proofErr w:type="gramEnd"/>
      <w:r w:rsidR="00C73D9E">
        <w:rPr>
          <w:rFonts w:asciiTheme="minorEastAsia" w:hAnsiTheme="minorEastAsia" w:hint="eastAsia"/>
          <w:sz w:val="24"/>
        </w:rPr>
        <w:t>及民品附件采购项目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w:t>
      </w:r>
      <w:r w:rsidR="00D43485">
        <w:rPr>
          <w:rFonts w:asciiTheme="minorEastAsia" w:hAnsiTheme="minorEastAsia" w:hint="eastAsia"/>
          <w:sz w:val="24"/>
        </w:rPr>
        <w:t>2</w:t>
      </w:r>
      <w:r w:rsidRPr="00C6116C">
        <w:rPr>
          <w:rFonts w:asciiTheme="minorEastAsia" w:hAnsiTheme="minorEastAsia" w:hint="eastAsia"/>
          <w:sz w:val="24"/>
        </w:rPr>
        <w:t>月</w:t>
      </w:r>
      <w:r w:rsidR="00D43485">
        <w:rPr>
          <w:rFonts w:asciiTheme="minorEastAsia" w:hAnsiTheme="minorEastAsia" w:hint="eastAsia"/>
          <w:sz w:val="24"/>
        </w:rPr>
        <w:t>7</w:t>
      </w:r>
      <w:r w:rsidR="00E70662">
        <w:rPr>
          <w:rFonts w:asciiTheme="minorEastAsia" w:hAnsiTheme="minorEastAsia" w:hint="eastAsia"/>
          <w:sz w:val="24"/>
        </w:rPr>
        <w:t xml:space="preserve"> </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C73D9E">
        <w:rPr>
          <w:rFonts w:asciiTheme="minorEastAsia" w:hAnsiTheme="minorEastAsia" w:hint="eastAsia"/>
          <w:bCs/>
          <w:sz w:val="24"/>
        </w:rPr>
        <w:t>GDJL-18/11-320</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C73D9E">
        <w:rPr>
          <w:rFonts w:asciiTheme="minorEastAsia" w:hAnsiTheme="minorEastAsia" w:hint="eastAsia"/>
          <w:sz w:val="24"/>
        </w:rPr>
        <w:t>广电计量2018年浪涌、脉冲</w:t>
      </w:r>
      <w:proofErr w:type="gramStart"/>
      <w:r w:rsidR="00C73D9E">
        <w:rPr>
          <w:rFonts w:asciiTheme="minorEastAsia" w:hAnsiTheme="minorEastAsia" w:hint="eastAsia"/>
          <w:sz w:val="24"/>
        </w:rPr>
        <w:t>群设备</w:t>
      </w:r>
      <w:proofErr w:type="gramEnd"/>
      <w:r w:rsidR="00C73D9E">
        <w:rPr>
          <w:rFonts w:asciiTheme="minorEastAsia" w:hAnsiTheme="minorEastAsia" w:hint="eastAsia"/>
          <w:sz w:val="24"/>
        </w:rPr>
        <w:t>及民品附件采购项目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7127EA" w:rsidTr="002156A7">
        <w:trPr>
          <w:trHeight w:val="478"/>
          <w:tblCellSpacing w:w="20" w:type="dxa"/>
          <w:jc w:val="center"/>
        </w:trPr>
        <w:tc>
          <w:tcPr>
            <w:tcW w:w="2653" w:type="dxa"/>
            <w:shd w:val="clear" w:color="auto" w:fill="FFFFFF"/>
            <w:vAlign w:val="center"/>
            <w:hideMark/>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E0B24" w:rsidRPr="007127EA" w:rsidTr="002156A7">
        <w:trPr>
          <w:trHeight w:val="70"/>
          <w:tblCellSpacing w:w="20" w:type="dxa"/>
          <w:jc w:val="center"/>
        </w:trPr>
        <w:tc>
          <w:tcPr>
            <w:tcW w:w="2653" w:type="dxa"/>
            <w:shd w:val="clear" w:color="auto" w:fill="FFFFFF"/>
            <w:vAlign w:val="center"/>
          </w:tcPr>
          <w:p w:rsidR="001E0B24" w:rsidRDefault="00C73D9E" w:rsidP="002156A7">
            <w:pPr>
              <w:jc w:val="center"/>
              <w:rPr>
                <w:rFonts w:asciiTheme="minorEastAsia" w:hAnsiTheme="minorEastAsia"/>
                <w:sz w:val="24"/>
              </w:rPr>
            </w:pPr>
            <w:r>
              <w:rPr>
                <w:rFonts w:asciiTheme="minorEastAsia" w:hAnsiTheme="minorEastAsia" w:hint="eastAsia"/>
                <w:sz w:val="24"/>
              </w:rPr>
              <w:t>浪涌、脉冲</w:t>
            </w:r>
            <w:proofErr w:type="gramStart"/>
            <w:r>
              <w:rPr>
                <w:rFonts w:asciiTheme="minorEastAsia" w:hAnsiTheme="minorEastAsia" w:hint="eastAsia"/>
                <w:sz w:val="24"/>
              </w:rPr>
              <w:t>群设备</w:t>
            </w:r>
            <w:proofErr w:type="gramEnd"/>
            <w:r>
              <w:rPr>
                <w:rFonts w:asciiTheme="minorEastAsia" w:hAnsiTheme="minorEastAsia" w:hint="eastAsia"/>
                <w:sz w:val="24"/>
              </w:rPr>
              <w:t>及民品附件</w:t>
            </w: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6A60BC">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1E0B24" w:rsidRDefault="00E70662" w:rsidP="006A60BC">
            <w:pPr>
              <w:jc w:val="center"/>
              <w:rPr>
                <w:color w:val="000000"/>
                <w:sz w:val="20"/>
                <w:szCs w:val="20"/>
              </w:rPr>
            </w:pPr>
            <w:r>
              <w:rPr>
                <w:rFonts w:hint="eastAsia"/>
                <w:color w:val="000000"/>
                <w:sz w:val="20"/>
                <w:szCs w:val="20"/>
              </w:rPr>
              <w:t>成都</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897C4C">
        <w:rPr>
          <w:rFonts w:asciiTheme="minorEastAsia" w:hAnsiTheme="minorEastAsia" w:hint="eastAsia"/>
          <w:sz w:val="24"/>
        </w:rPr>
        <w:t>2</w:t>
      </w:r>
      <w:r w:rsidRPr="00C6116C">
        <w:rPr>
          <w:rFonts w:asciiTheme="minorEastAsia" w:hAnsiTheme="minorEastAsia" w:hint="eastAsia"/>
          <w:sz w:val="24"/>
        </w:rPr>
        <w:t>月</w:t>
      </w:r>
      <w:r w:rsidR="00E70662">
        <w:rPr>
          <w:rFonts w:asciiTheme="minorEastAsia" w:hAnsiTheme="minorEastAsia" w:hint="eastAsia"/>
          <w:sz w:val="24"/>
        </w:rPr>
        <w:t xml:space="preserve"> </w:t>
      </w:r>
      <w:r w:rsidR="00D43485">
        <w:rPr>
          <w:rFonts w:asciiTheme="minorEastAsia" w:hAnsiTheme="minorEastAsia" w:hint="eastAsia"/>
          <w:sz w:val="24"/>
        </w:rPr>
        <w:t>26</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897C4C">
        <w:rPr>
          <w:rFonts w:asciiTheme="minorEastAsia" w:hAnsiTheme="minorEastAsia" w:hint="eastAsia"/>
          <w:sz w:val="24"/>
        </w:rPr>
        <w:t>2</w:t>
      </w:r>
      <w:r>
        <w:rPr>
          <w:rFonts w:asciiTheme="minorEastAsia" w:hAnsiTheme="minorEastAsia" w:hint="eastAsia"/>
          <w:sz w:val="24"/>
        </w:rPr>
        <w:t>月</w:t>
      </w:r>
      <w:r w:rsidR="00D43485">
        <w:rPr>
          <w:rFonts w:asciiTheme="minorEastAsia" w:hAnsiTheme="minorEastAsia" w:hint="eastAsia"/>
          <w:sz w:val="24"/>
        </w:rPr>
        <w:t>26</w:t>
      </w:r>
      <w:r w:rsidR="00E70662">
        <w:rPr>
          <w:rFonts w:asciiTheme="minorEastAsia" w:hAnsiTheme="minorEastAsia" w:hint="eastAsia"/>
          <w:sz w:val="24"/>
        </w:rPr>
        <w:t xml:space="preserve"> </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D43485">
        <w:rPr>
          <w:rFonts w:asciiTheme="minorEastAsia" w:hAnsiTheme="minorEastAsia" w:hint="eastAsia"/>
          <w:sz w:val="24"/>
          <w:shd w:val="clear" w:color="auto" w:fill="FFFF00"/>
        </w:rPr>
        <w:t>13</w:t>
      </w:r>
      <w:r w:rsidR="005E6C1F">
        <w:rPr>
          <w:rFonts w:asciiTheme="minorEastAsia" w:hAnsiTheme="minorEastAsia" w:hint="eastAsia"/>
          <w:sz w:val="24"/>
          <w:shd w:val="clear" w:color="auto" w:fill="FFFF00"/>
        </w:rPr>
        <w:t xml:space="preserve"> </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w:t>
      </w:r>
      <w:r w:rsidR="00D43485">
        <w:rPr>
          <w:rFonts w:asciiTheme="minorEastAsia" w:hAnsiTheme="minorEastAsia" w:hint="eastAsia"/>
          <w:sz w:val="24"/>
        </w:rPr>
        <w:t>2</w:t>
      </w:r>
      <w:r w:rsidRPr="00C6116C">
        <w:rPr>
          <w:rFonts w:asciiTheme="minorEastAsia" w:hAnsiTheme="minorEastAsia" w:hint="eastAsia"/>
          <w:sz w:val="24"/>
        </w:rPr>
        <w:t>月</w:t>
      </w:r>
      <w:r w:rsidR="00D43485">
        <w:rPr>
          <w:rFonts w:asciiTheme="minorEastAsia" w:hAnsiTheme="minorEastAsia" w:hint="eastAsia"/>
          <w:sz w:val="24"/>
        </w:rPr>
        <w:t>7</w:t>
      </w:r>
      <w:r w:rsidR="005E6C1F">
        <w:rPr>
          <w:rFonts w:asciiTheme="minorEastAsia" w:hAnsiTheme="minorEastAsia" w:hint="eastAsia"/>
          <w:sz w:val="24"/>
        </w:rPr>
        <w:t xml:space="preserve">  </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C73D9E" w:rsidP="0096446B">
            <w:pPr>
              <w:autoSpaceDE w:val="0"/>
              <w:autoSpaceDN w:val="0"/>
              <w:rPr>
                <w:rFonts w:asciiTheme="minorEastAsia" w:hAnsiTheme="minorEastAsia"/>
                <w:szCs w:val="21"/>
              </w:rPr>
            </w:pPr>
            <w:r>
              <w:rPr>
                <w:rFonts w:asciiTheme="minorEastAsia" w:hAnsiTheme="minorEastAsia" w:hint="eastAsia"/>
                <w:szCs w:val="21"/>
              </w:rPr>
              <w:t>广电计量2018年浪涌、脉冲</w:t>
            </w:r>
            <w:proofErr w:type="gramStart"/>
            <w:r>
              <w:rPr>
                <w:rFonts w:asciiTheme="minorEastAsia" w:hAnsiTheme="minorEastAsia" w:hint="eastAsia"/>
                <w:szCs w:val="21"/>
              </w:rPr>
              <w:t>群设备</w:t>
            </w:r>
            <w:proofErr w:type="gramEnd"/>
            <w:r>
              <w:rPr>
                <w:rFonts w:asciiTheme="minorEastAsia" w:hAnsiTheme="minorEastAsia" w:hint="eastAsia"/>
                <w:szCs w:val="21"/>
              </w:rPr>
              <w:t>及民品附件采购项目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C73D9E">
              <w:rPr>
                <w:rFonts w:asciiTheme="minorEastAsia" w:hAnsiTheme="minorEastAsia"/>
                <w:szCs w:val="21"/>
              </w:rPr>
              <w:t>GDJL-18/11-320</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C73D9E">
              <w:rPr>
                <w:rFonts w:asciiTheme="minorEastAsia" w:hAnsiTheme="minorEastAsia"/>
                <w:szCs w:val="21"/>
              </w:rPr>
              <w:t>GDJL-18/11-320</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5E6C1F">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5E6C1F">
              <w:rPr>
                <w:rFonts w:asciiTheme="minorEastAsia" w:hAnsiTheme="minorEastAsia" w:hint="eastAsia"/>
                <w:szCs w:val="21"/>
                <w:u w:val="single"/>
              </w:rPr>
              <w:t xml:space="preserve"> </w:t>
            </w:r>
            <w:r w:rsidR="00D43485">
              <w:rPr>
                <w:rFonts w:asciiTheme="minorEastAsia" w:hAnsiTheme="minorEastAsia" w:hint="eastAsia"/>
                <w:szCs w:val="21"/>
                <w:u w:val="single"/>
              </w:rPr>
              <w:t>26</w:t>
            </w:r>
            <w:r w:rsidR="005E6C1F">
              <w:rPr>
                <w:rFonts w:asciiTheme="minorEastAsia" w:hAnsiTheme="minorEastAsia" w:hint="eastAsia"/>
                <w:szCs w:val="21"/>
                <w:u w:val="single"/>
              </w:rPr>
              <w:t xml:space="preserve"> </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5E6C1F">
              <w:rPr>
                <w:rFonts w:asciiTheme="minorEastAsia" w:hAnsiTheme="minorEastAsia" w:hint="eastAsia"/>
                <w:szCs w:val="21"/>
                <w:u w:val="single"/>
              </w:rPr>
              <w:t xml:space="preserve"> </w:t>
            </w:r>
            <w:r w:rsidR="00D43485">
              <w:rPr>
                <w:rFonts w:asciiTheme="minorEastAsia" w:hAnsiTheme="minorEastAsia" w:hint="eastAsia"/>
                <w:szCs w:val="21"/>
                <w:u w:val="single"/>
              </w:rPr>
              <w:t>26</w:t>
            </w:r>
            <w:r w:rsidR="004C4BC4">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1E0B24" w:rsidRPr="00262C1F" w:rsidRDefault="001E0B24" w:rsidP="001E0B24">
      <w:pPr>
        <w:adjustRightInd w:val="0"/>
        <w:snapToGrid w:val="0"/>
        <w:ind w:leftChars="-135" w:left="-283" w:right="482" w:firstLineChars="2352" w:firstLine="4958"/>
        <w:jc w:val="left"/>
        <w:rPr>
          <w:rFonts w:asciiTheme="minorEastAsia" w:hAnsiTheme="minorEastAsia"/>
          <w:b/>
          <w:szCs w:val="21"/>
        </w:rPr>
      </w:pPr>
      <w:bookmarkStart w:id="62" w:name="_Toc523836975"/>
      <w:r w:rsidRPr="00262C1F">
        <w:rPr>
          <w:rFonts w:asciiTheme="minorEastAsia" w:hAnsiTheme="minorEastAsia" w:hint="eastAsia"/>
          <w:b/>
          <w:szCs w:val="21"/>
        </w:rPr>
        <w:t>合同编号：</w:t>
      </w:r>
    </w:p>
    <w:p w:rsidR="001E0B24" w:rsidRPr="00262C1F" w:rsidRDefault="001E0B24" w:rsidP="001E0B24">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1E0B24" w:rsidRPr="00262C1F" w:rsidRDefault="001E0B24" w:rsidP="001E0B24">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1E0B24" w:rsidRPr="00262C1F" w:rsidRDefault="001E0B24" w:rsidP="001E0B24">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1E0B24" w:rsidRPr="00262C1F" w:rsidTr="001E0B24">
        <w:trPr>
          <w:trHeight w:val="310"/>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bl>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1E0B24" w:rsidRPr="00262C1F" w:rsidRDefault="001E0B24" w:rsidP="001E0B24">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1E0B24" w:rsidRPr="00262C1F" w:rsidRDefault="001E0B24" w:rsidP="001E0B24">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1E0B24" w:rsidRPr="00262C1F" w:rsidRDefault="001E0B24" w:rsidP="001E0B24">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1E0B24" w:rsidRPr="00262C1F" w:rsidRDefault="001E0B24" w:rsidP="001E0B24">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1E0B24" w:rsidRPr="00262C1F" w:rsidRDefault="001E0B24" w:rsidP="001E0B24">
      <w:pPr>
        <w:adjustRightInd w:val="0"/>
        <w:snapToGrid w:val="0"/>
        <w:spacing w:line="360" w:lineRule="auto"/>
        <w:jc w:val="left"/>
        <w:rPr>
          <w:rFonts w:asciiTheme="minorEastAsia" w:hAnsiTheme="minorEastAsia"/>
          <w:szCs w:val="21"/>
        </w:rPr>
      </w:pP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C73D9E" w:rsidRPr="007127EA" w:rsidTr="00075976">
        <w:trPr>
          <w:trHeight w:val="478"/>
          <w:tblCellSpacing w:w="20" w:type="dxa"/>
          <w:jc w:val="center"/>
        </w:trPr>
        <w:tc>
          <w:tcPr>
            <w:tcW w:w="2653" w:type="dxa"/>
            <w:shd w:val="clear" w:color="auto" w:fill="FFFFFF"/>
            <w:vAlign w:val="center"/>
            <w:hideMark/>
          </w:tcPr>
          <w:p w:rsidR="00C73D9E" w:rsidRPr="007127EA" w:rsidRDefault="00C73D9E" w:rsidP="0007597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C73D9E" w:rsidRPr="007127EA" w:rsidRDefault="00C73D9E" w:rsidP="0007597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C73D9E" w:rsidRPr="007127EA" w:rsidRDefault="00C73D9E" w:rsidP="0007597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C73D9E" w:rsidRPr="007127EA" w:rsidRDefault="00C73D9E" w:rsidP="0007597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C73D9E" w:rsidRPr="007127EA" w:rsidRDefault="00C73D9E" w:rsidP="00075976">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C73D9E" w:rsidRPr="007127EA" w:rsidTr="00075976">
        <w:trPr>
          <w:trHeight w:val="70"/>
          <w:tblCellSpacing w:w="20" w:type="dxa"/>
          <w:jc w:val="center"/>
        </w:trPr>
        <w:tc>
          <w:tcPr>
            <w:tcW w:w="2653" w:type="dxa"/>
            <w:shd w:val="clear" w:color="auto" w:fill="FFFFFF"/>
            <w:vAlign w:val="center"/>
          </w:tcPr>
          <w:p w:rsidR="00C73D9E" w:rsidRDefault="00C73D9E" w:rsidP="00075976">
            <w:pPr>
              <w:jc w:val="center"/>
              <w:rPr>
                <w:rFonts w:asciiTheme="minorEastAsia" w:hAnsiTheme="minorEastAsia"/>
                <w:sz w:val="24"/>
              </w:rPr>
            </w:pPr>
            <w:r>
              <w:rPr>
                <w:rFonts w:asciiTheme="minorEastAsia" w:hAnsiTheme="minorEastAsia" w:hint="eastAsia"/>
                <w:sz w:val="24"/>
              </w:rPr>
              <w:t>浪涌、脉冲</w:t>
            </w:r>
            <w:proofErr w:type="gramStart"/>
            <w:r>
              <w:rPr>
                <w:rFonts w:asciiTheme="minorEastAsia" w:hAnsiTheme="minorEastAsia" w:hint="eastAsia"/>
                <w:sz w:val="24"/>
              </w:rPr>
              <w:t>群设备</w:t>
            </w:r>
            <w:proofErr w:type="gramEnd"/>
            <w:r>
              <w:rPr>
                <w:rFonts w:asciiTheme="minorEastAsia" w:hAnsiTheme="minorEastAsia" w:hint="eastAsia"/>
                <w:sz w:val="24"/>
              </w:rPr>
              <w:t>及民品附件</w:t>
            </w:r>
          </w:p>
        </w:tc>
        <w:tc>
          <w:tcPr>
            <w:tcW w:w="1449" w:type="dxa"/>
            <w:shd w:val="clear" w:color="auto" w:fill="FFFFFF"/>
            <w:vAlign w:val="center"/>
          </w:tcPr>
          <w:p w:rsidR="00C73D9E" w:rsidRPr="007127EA" w:rsidRDefault="00C73D9E" w:rsidP="00075976">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C73D9E" w:rsidRPr="007127EA" w:rsidRDefault="00C73D9E" w:rsidP="00075976">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C73D9E" w:rsidRDefault="00C73D9E" w:rsidP="00075976">
            <w:pPr>
              <w:jc w:val="center"/>
              <w:rPr>
                <w:color w:val="000000"/>
                <w:sz w:val="20"/>
                <w:szCs w:val="20"/>
              </w:rPr>
            </w:pPr>
            <w:r>
              <w:rPr>
                <w:rFonts w:hint="eastAsia"/>
                <w:color w:val="000000"/>
                <w:sz w:val="20"/>
                <w:szCs w:val="20"/>
              </w:rPr>
              <w:t>成都</w:t>
            </w:r>
          </w:p>
        </w:tc>
        <w:tc>
          <w:tcPr>
            <w:tcW w:w="1496" w:type="dxa"/>
            <w:shd w:val="clear" w:color="auto" w:fill="FFFFFF"/>
            <w:vAlign w:val="center"/>
          </w:tcPr>
          <w:p w:rsidR="00C73D9E" w:rsidRPr="007127EA" w:rsidRDefault="00C73D9E" w:rsidP="00075976">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t>4.3</w:t>
      </w:r>
      <w:r w:rsidRPr="00C6116C">
        <w:rPr>
          <w:rFonts w:hint="eastAsia"/>
        </w:rPr>
        <w:t>仪器的配置与技术参数要求</w:t>
      </w:r>
      <w:bookmarkEnd w:id="67"/>
    </w:p>
    <w:tbl>
      <w:tblPr>
        <w:tblStyle w:val="ac"/>
        <w:tblW w:w="0" w:type="auto"/>
        <w:tblLook w:val="04A0"/>
      </w:tblPr>
      <w:tblGrid>
        <w:gridCol w:w="1526"/>
        <w:gridCol w:w="8102"/>
      </w:tblGrid>
      <w:tr w:rsidR="002C410C" w:rsidTr="00EB3512">
        <w:tc>
          <w:tcPr>
            <w:tcW w:w="1526" w:type="dxa"/>
            <w:vAlign w:val="center"/>
          </w:tcPr>
          <w:p w:rsidR="002C410C" w:rsidRPr="007A6156" w:rsidRDefault="002C410C" w:rsidP="00EB351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2C410C" w:rsidRDefault="002C410C" w:rsidP="00EB351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2C410C" w:rsidRPr="00133AFD" w:rsidRDefault="002C410C" w:rsidP="002C410C">
            <w:pPr>
              <w:widowControl/>
              <w:numPr>
                <w:ilvl w:val="0"/>
                <w:numId w:val="18"/>
              </w:numPr>
              <w:spacing w:line="360" w:lineRule="auto"/>
              <w:jc w:val="left"/>
              <w:rPr>
                <w:rFonts w:ascii="宋体" w:hAnsi="宋体"/>
                <w:sz w:val="24"/>
              </w:rPr>
            </w:pPr>
            <w:r w:rsidRPr="00133AFD">
              <w:rPr>
                <w:rFonts w:ascii="宋体" w:hAnsi="宋体" w:hint="eastAsia"/>
                <w:sz w:val="24"/>
              </w:rPr>
              <w:t>电快速脉冲群：</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功能要求：</w:t>
            </w:r>
          </w:p>
          <w:p w:rsidR="002C410C" w:rsidRPr="00133AFD" w:rsidRDefault="002C410C" w:rsidP="002C410C">
            <w:pPr>
              <w:widowControl/>
              <w:numPr>
                <w:ilvl w:val="0"/>
                <w:numId w:val="35"/>
              </w:numPr>
              <w:spacing w:line="360" w:lineRule="auto"/>
              <w:jc w:val="left"/>
              <w:rPr>
                <w:rFonts w:ascii="宋体" w:hAnsi="宋体"/>
                <w:sz w:val="24"/>
              </w:rPr>
            </w:pPr>
            <w:r w:rsidRPr="00133AFD">
              <w:rPr>
                <w:rFonts w:ascii="宋体" w:hAnsi="宋体" w:hint="eastAsia"/>
                <w:sz w:val="24"/>
              </w:rPr>
              <w:t>工作电压</w:t>
            </w:r>
            <w:r w:rsidRPr="00133AFD">
              <w:rPr>
                <w:rFonts w:ascii="宋体" w:hAnsi="宋体"/>
                <w:sz w:val="24"/>
              </w:rPr>
              <w:t>110V/220V,</w:t>
            </w:r>
            <w:r w:rsidRPr="00133AFD">
              <w:rPr>
                <w:rFonts w:ascii="宋体" w:hAnsi="宋体" w:hint="eastAsia"/>
                <w:sz w:val="24"/>
              </w:rPr>
              <w:t>±</w:t>
            </w:r>
            <w:r w:rsidRPr="00133AFD">
              <w:rPr>
                <w:rFonts w:ascii="宋体" w:hAnsi="宋体"/>
                <w:sz w:val="24"/>
              </w:rPr>
              <w:t>10%</w:t>
            </w:r>
            <w:r w:rsidRPr="00133AFD">
              <w:rPr>
                <w:rFonts w:ascii="宋体" w:hAnsi="宋体" w:hint="eastAsia"/>
                <w:sz w:val="24"/>
              </w:rPr>
              <w:t>，</w:t>
            </w:r>
            <w:r w:rsidRPr="00133AFD">
              <w:rPr>
                <w:rFonts w:ascii="宋体" w:hAnsi="宋体"/>
                <w:sz w:val="24"/>
              </w:rPr>
              <w:t>50/60Hz</w:t>
            </w:r>
            <w:r w:rsidRPr="00133AFD">
              <w:rPr>
                <w:rFonts w:ascii="宋体" w:hAnsi="宋体" w:hint="eastAsia"/>
                <w:sz w:val="24"/>
              </w:rPr>
              <w:t>；</w:t>
            </w:r>
          </w:p>
          <w:p w:rsidR="002C410C" w:rsidRDefault="002C410C" w:rsidP="002C410C">
            <w:pPr>
              <w:widowControl/>
              <w:numPr>
                <w:ilvl w:val="0"/>
                <w:numId w:val="35"/>
              </w:numPr>
              <w:spacing w:line="360" w:lineRule="auto"/>
              <w:jc w:val="left"/>
              <w:rPr>
                <w:rFonts w:ascii="宋体" w:hAnsi="宋体"/>
                <w:sz w:val="24"/>
              </w:rPr>
            </w:pPr>
            <w:r w:rsidRPr="00133AFD">
              <w:rPr>
                <w:rFonts w:ascii="宋体" w:hAnsi="宋体" w:hint="eastAsia"/>
                <w:sz w:val="24"/>
              </w:rPr>
              <w:t>试验发生器接地端与实验室的安全地相连；</w:t>
            </w:r>
          </w:p>
          <w:p w:rsidR="002C410C"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参数指标：</w:t>
            </w:r>
          </w:p>
          <w:p w:rsidR="002C410C" w:rsidRPr="00E2106F"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发生器开路输出电压：</w:t>
            </w:r>
            <w:r w:rsidRPr="00133AFD">
              <w:rPr>
                <w:rFonts w:ascii="宋体" w:hAnsi="宋体" w:hint="eastAsia"/>
                <w:sz w:val="24"/>
              </w:rPr>
              <w:t>200V～5kV</w:t>
            </w:r>
            <w:r w:rsidRPr="007147B8">
              <w:rPr>
                <w:rFonts w:ascii="宋体" w:hAnsi="宋体" w:hint="eastAsia"/>
                <w:sz w:val="24"/>
              </w:rPr>
              <w:t>；</w:t>
            </w:r>
          </w:p>
          <w:p w:rsidR="002C410C" w:rsidRPr="007147B8"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极性：正和负</w:t>
            </w:r>
          </w:p>
          <w:p w:rsidR="002C410C" w:rsidRPr="007147B8"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发生器动态输出阻抗：</w:t>
            </w:r>
            <w:r w:rsidRPr="007147B8">
              <w:rPr>
                <w:rFonts w:ascii="宋体" w:hAnsi="宋体"/>
                <w:sz w:val="24"/>
              </w:rPr>
              <w:t>50Ω±20%</w:t>
            </w:r>
            <w:r w:rsidRPr="007147B8">
              <w:rPr>
                <w:rFonts w:ascii="宋体" w:hAnsi="宋体" w:hint="eastAsia"/>
                <w:sz w:val="24"/>
              </w:rPr>
              <w:t>；</w:t>
            </w:r>
            <w:r w:rsidRPr="007147B8">
              <w:rPr>
                <w:rFonts w:ascii="宋体" w:hAnsi="宋体"/>
                <w:sz w:val="24"/>
              </w:rPr>
              <w:t xml:space="preserve"> </w:t>
            </w:r>
          </w:p>
          <w:p w:rsidR="002C410C" w:rsidRPr="007147B8"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发生器</w:t>
            </w:r>
            <w:proofErr w:type="gramStart"/>
            <w:r w:rsidRPr="007147B8">
              <w:rPr>
                <w:rFonts w:ascii="宋体" w:hAnsi="宋体" w:hint="eastAsia"/>
                <w:sz w:val="24"/>
              </w:rPr>
              <w:t>内置隔直电容</w:t>
            </w:r>
            <w:proofErr w:type="gramEnd"/>
            <w:r w:rsidRPr="007147B8">
              <w:rPr>
                <w:rFonts w:ascii="宋体" w:hAnsi="宋体" w:hint="eastAsia"/>
                <w:sz w:val="24"/>
              </w:rPr>
              <w:t>：</w:t>
            </w:r>
            <w:r w:rsidRPr="007147B8">
              <w:rPr>
                <w:rFonts w:ascii="宋体" w:hAnsi="宋体"/>
                <w:sz w:val="24"/>
              </w:rPr>
              <w:t>10nF±20</w:t>
            </w:r>
            <w:r w:rsidRPr="007147B8">
              <w:rPr>
                <w:rFonts w:ascii="宋体" w:hAnsi="宋体" w:hint="eastAsia"/>
                <w:sz w:val="24"/>
              </w:rPr>
              <w:t>％；</w:t>
            </w:r>
          </w:p>
          <w:p w:rsidR="002C410C" w:rsidRPr="007147B8"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发生器输出方式：同轴，</w:t>
            </w:r>
            <w:r w:rsidRPr="007147B8">
              <w:rPr>
                <w:rFonts w:ascii="宋体" w:hAnsi="宋体"/>
                <w:sz w:val="24"/>
              </w:rPr>
              <w:t>50Ω</w:t>
            </w:r>
            <w:r w:rsidRPr="007147B8">
              <w:rPr>
                <w:rFonts w:ascii="宋体" w:hAnsi="宋体" w:hint="eastAsia"/>
                <w:sz w:val="24"/>
              </w:rPr>
              <w:t>；</w:t>
            </w:r>
            <w:r w:rsidRPr="007147B8">
              <w:rPr>
                <w:rFonts w:ascii="宋体" w:hAnsi="宋体"/>
                <w:sz w:val="24"/>
              </w:rPr>
              <w:t xml:space="preserve"> </w:t>
            </w:r>
            <w:r w:rsidRPr="007147B8">
              <w:rPr>
                <w:rFonts w:ascii="宋体" w:hAnsi="宋体" w:hint="eastAsia"/>
                <w:sz w:val="24"/>
              </w:rPr>
              <w:t>脉冲重复频率：</w:t>
            </w:r>
            <w:r w:rsidRPr="007147B8">
              <w:rPr>
                <w:rFonts w:ascii="宋体" w:hAnsi="宋体"/>
                <w:sz w:val="24"/>
              </w:rPr>
              <w:t>5kHz ±20</w:t>
            </w:r>
            <w:r w:rsidRPr="007147B8">
              <w:rPr>
                <w:rFonts w:ascii="宋体" w:hAnsi="宋体" w:hint="eastAsia"/>
                <w:sz w:val="24"/>
              </w:rPr>
              <w:t>％，</w:t>
            </w:r>
            <w:r w:rsidRPr="007147B8">
              <w:rPr>
                <w:rFonts w:ascii="宋体" w:hAnsi="宋体"/>
                <w:sz w:val="24"/>
              </w:rPr>
              <w:t>100kHz ±20</w:t>
            </w:r>
            <w:r w:rsidRPr="007147B8">
              <w:rPr>
                <w:rFonts w:ascii="宋体" w:hAnsi="宋体" w:hint="eastAsia"/>
                <w:sz w:val="24"/>
              </w:rPr>
              <w:t>％；</w:t>
            </w:r>
          </w:p>
          <w:p w:rsidR="002C410C" w:rsidRPr="007147B8"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脉冲群持续时间：在</w:t>
            </w:r>
            <w:r w:rsidRPr="007147B8">
              <w:rPr>
                <w:rFonts w:ascii="宋体" w:hAnsi="宋体"/>
                <w:sz w:val="24"/>
              </w:rPr>
              <w:t>5kHz</w:t>
            </w:r>
            <w:r w:rsidRPr="007147B8">
              <w:rPr>
                <w:rFonts w:ascii="宋体" w:hAnsi="宋体" w:hint="eastAsia"/>
                <w:sz w:val="24"/>
              </w:rPr>
              <w:t>时为</w:t>
            </w:r>
            <w:r w:rsidRPr="007147B8">
              <w:rPr>
                <w:rFonts w:ascii="宋体" w:hAnsi="宋体"/>
                <w:sz w:val="24"/>
              </w:rPr>
              <w:t>15ms±20%</w:t>
            </w:r>
            <w:r w:rsidRPr="007147B8">
              <w:rPr>
                <w:rFonts w:ascii="宋体" w:hAnsi="宋体" w:hint="eastAsia"/>
                <w:sz w:val="24"/>
              </w:rPr>
              <w:t>，</w:t>
            </w:r>
            <w:r w:rsidRPr="007147B8">
              <w:rPr>
                <w:rFonts w:ascii="宋体" w:hAnsi="宋体"/>
                <w:sz w:val="24"/>
              </w:rPr>
              <w:t xml:space="preserve"> </w:t>
            </w:r>
            <w:r w:rsidRPr="007147B8">
              <w:rPr>
                <w:rFonts w:ascii="宋体" w:hAnsi="宋体" w:hint="eastAsia"/>
                <w:sz w:val="24"/>
              </w:rPr>
              <w:t>在</w:t>
            </w:r>
            <w:r w:rsidRPr="007147B8">
              <w:rPr>
                <w:rFonts w:ascii="宋体" w:hAnsi="宋体"/>
                <w:sz w:val="24"/>
              </w:rPr>
              <w:t>100kHz</w:t>
            </w:r>
            <w:r w:rsidRPr="007147B8">
              <w:rPr>
                <w:rFonts w:ascii="宋体" w:hAnsi="宋体" w:hint="eastAsia"/>
                <w:sz w:val="24"/>
              </w:rPr>
              <w:t>时为</w:t>
            </w:r>
            <w:r w:rsidRPr="007147B8">
              <w:rPr>
                <w:rFonts w:ascii="宋体" w:hAnsi="宋体"/>
                <w:sz w:val="24"/>
              </w:rPr>
              <w:t xml:space="preserve">0.75ms±20% </w:t>
            </w:r>
            <w:r w:rsidRPr="007147B8">
              <w:rPr>
                <w:rFonts w:ascii="宋体" w:hAnsi="宋体" w:hint="eastAsia"/>
                <w:sz w:val="24"/>
              </w:rPr>
              <w:t>；</w:t>
            </w:r>
            <w:r w:rsidRPr="007147B8">
              <w:rPr>
                <w:rFonts w:ascii="宋体" w:hAnsi="宋体"/>
                <w:sz w:val="24"/>
              </w:rPr>
              <w:t xml:space="preserve"> </w:t>
            </w:r>
          </w:p>
          <w:p w:rsidR="002C410C"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脉冲群周期：</w:t>
            </w:r>
            <w:r w:rsidRPr="007147B8">
              <w:rPr>
                <w:rFonts w:ascii="宋体" w:hAnsi="宋体"/>
                <w:sz w:val="24"/>
              </w:rPr>
              <w:t>300ms±20</w:t>
            </w:r>
            <w:r w:rsidRPr="007147B8">
              <w:rPr>
                <w:rFonts w:ascii="宋体" w:hAnsi="宋体" w:hint="eastAsia"/>
                <w:sz w:val="24"/>
              </w:rPr>
              <w:t>％；</w:t>
            </w:r>
          </w:p>
          <w:p w:rsidR="002C410C" w:rsidRPr="007147B8" w:rsidRDefault="002C410C" w:rsidP="002C410C">
            <w:pPr>
              <w:widowControl/>
              <w:numPr>
                <w:ilvl w:val="0"/>
                <w:numId w:val="34"/>
              </w:numPr>
              <w:spacing w:line="360" w:lineRule="auto"/>
              <w:jc w:val="left"/>
              <w:rPr>
                <w:rFonts w:ascii="宋体" w:hAnsi="宋体"/>
                <w:sz w:val="24"/>
              </w:rPr>
            </w:pPr>
            <w:r w:rsidRPr="007147B8">
              <w:rPr>
                <w:rFonts w:ascii="宋体" w:hAnsi="宋体" w:hint="eastAsia"/>
                <w:sz w:val="24"/>
              </w:rPr>
              <w:t>脉冲群与电源的关系：异步；</w:t>
            </w:r>
          </w:p>
          <w:p w:rsidR="002C410C" w:rsidRPr="00133AFD" w:rsidRDefault="002C410C" w:rsidP="002C410C">
            <w:pPr>
              <w:widowControl/>
              <w:numPr>
                <w:ilvl w:val="0"/>
                <w:numId w:val="34"/>
              </w:numPr>
              <w:spacing w:line="360" w:lineRule="auto"/>
              <w:jc w:val="left"/>
              <w:rPr>
                <w:rFonts w:ascii="宋体" w:hAnsi="宋体"/>
                <w:sz w:val="24"/>
              </w:rPr>
            </w:pPr>
            <w:r w:rsidRPr="00133AFD">
              <w:rPr>
                <w:rFonts w:ascii="宋体" w:hAnsi="宋体" w:hint="eastAsia"/>
                <w:sz w:val="24"/>
              </w:rPr>
              <w:t>测试电压：200V～5kV；</w:t>
            </w:r>
          </w:p>
          <w:p w:rsidR="002C410C" w:rsidRPr="00133AFD" w:rsidRDefault="002C410C" w:rsidP="002C410C">
            <w:pPr>
              <w:widowControl/>
              <w:numPr>
                <w:ilvl w:val="0"/>
                <w:numId w:val="34"/>
              </w:numPr>
              <w:spacing w:line="360" w:lineRule="auto"/>
              <w:jc w:val="left"/>
              <w:rPr>
                <w:rFonts w:ascii="宋体" w:hAnsi="宋体"/>
                <w:sz w:val="24"/>
              </w:rPr>
            </w:pPr>
            <w:r w:rsidRPr="00133AFD">
              <w:rPr>
                <w:rFonts w:ascii="宋体" w:hAnsi="宋体" w:hint="eastAsia"/>
                <w:sz w:val="24"/>
              </w:rPr>
              <w:t>脉冲波形：5ns±30%、50ns±30%；</w:t>
            </w:r>
          </w:p>
          <w:p w:rsidR="002C410C" w:rsidRDefault="002C410C" w:rsidP="002C410C">
            <w:pPr>
              <w:widowControl/>
              <w:numPr>
                <w:ilvl w:val="0"/>
                <w:numId w:val="34"/>
              </w:numPr>
              <w:spacing w:line="360" w:lineRule="auto"/>
              <w:jc w:val="left"/>
              <w:rPr>
                <w:rFonts w:ascii="宋体" w:hAnsi="宋体"/>
                <w:sz w:val="24"/>
              </w:rPr>
            </w:pPr>
            <w:r w:rsidRPr="00133AFD">
              <w:rPr>
                <w:rFonts w:ascii="宋体" w:hAnsi="宋体" w:hint="eastAsia"/>
                <w:sz w:val="24"/>
              </w:rPr>
              <w:t>脉冲频率：0.1kHz～1MHz；</w:t>
            </w:r>
          </w:p>
          <w:p w:rsidR="002C410C" w:rsidRPr="00E2106F" w:rsidRDefault="002C410C" w:rsidP="002C410C">
            <w:pPr>
              <w:widowControl/>
              <w:numPr>
                <w:ilvl w:val="0"/>
                <w:numId w:val="34"/>
              </w:numPr>
              <w:spacing w:line="360" w:lineRule="auto"/>
              <w:jc w:val="left"/>
              <w:rPr>
                <w:rFonts w:ascii="宋体" w:hAnsi="宋体"/>
                <w:sz w:val="24"/>
              </w:rPr>
            </w:pPr>
            <w:r w:rsidRPr="00E2106F">
              <w:rPr>
                <w:rFonts w:ascii="宋体" w:hAnsi="宋体" w:hint="eastAsia"/>
                <w:sz w:val="24"/>
              </w:rPr>
              <w:t>耦合去</w:t>
            </w:r>
            <w:proofErr w:type="gramStart"/>
            <w:r w:rsidRPr="00E2106F">
              <w:rPr>
                <w:rFonts w:ascii="宋体" w:hAnsi="宋体" w:hint="eastAsia"/>
                <w:sz w:val="24"/>
              </w:rPr>
              <w:t>耦</w:t>
            </w:r>
            <w:proofErr w:type="gramEnd"/>
            <w:r w:rsidRPr="00E2106F">
              <w:rPr>
                <w:rFonts w:ascii="宋体" w:hAnsi="宋体" w:hint="eastAsia"/>
                <w:sz w:val="24"/>
              </w:rPr>
              <w:t>网络：三相五线AC380V/D110V/32A，耦合电容：33nF,去</w:t>
            </w:r>
            <w:proofErr w:type="gramStart"/>
            <w:r w:rsidRPr="00E2106F">
              <w:rPr>
                <w:rFonts w:ascii="宋体" w:hAnsi="宋体" w:hint="eastAsia"/>
                <w:sz w:val="24"/>
              </w:rPr>
              <w:t>耦</w:t>
            </w:r>
            <w:proofErr w:type="gramEnd"/>
            <w:r w:rsidRPr="00E2106F">
              <w:rPr>
                <w:rFonts w:ascii="宋体" w:hAnsi="宋体" w:hint="eastAsia"/>
                <w:sz w:val="24"/>
              </w:rPr>
              <w:t>电感：150μH；耦合方式：共模</w:t>
            </w:r>
          </w:p>
          <w:p w:rsidR="002C410C" w:rsidRPr="00133AFD" w:rsidRDefault="002C410C" w:rsidP="002C410C">
            <w:pPr>
              <w:widowControl/>
              <w:numPr>
                <w:ilvl w:val="0"/>
                <w:numId w:val="34"/>
              </w:numPr>
              <w:spacing w:line="360" w:lineRule="auto"/>
              <w:jc w:val="left"/>
              <w:rPr>
                <w:rFonts w:ascii="宋体" w:hAnsi="宋体"/>
                <w:sz w:val="24"/>
              </w:rPr>
            </w:pPr>
            <w:r w:rsidRPr="00133AFD">
              <w:rPr>
                <w:rFonts w:ascii="宋体" w:hAnsi="宋体" w:hint="eastAsia"/>
                <w:sz w:val="24"/>
              </w:rPr>
              <w:t>电容耦合夹：最大脉冲电压5kV，耦合电容：100pF～</w:t>
            </w:r>
            <w:r>
              <w:rPr>
                <w:rFonts w:ascii="宋体" w:hAnsi="宋体" w:hint="eastAsia"/>
                <w:sz w:val="24"/>
              </w:rPr>
              <w:t>2</w:t>
            </w:r>
            <w:r w:rsidRPr="00133AFD">
              <w:rPr>
                <w:rFonts w:ascii="宋体" w:hAnsi="宋体" w:hint="eastAsia"/>
                <w:sz w:val="24"/>
              </w:rPr>
              <w:t>000pF，绝缘能力＞5kV；</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覆盖标准：</w:t>
            </w:r>
          </w:p>
          <w:p w:rsidR="002C410C" w:rsidRPr="00133AFD" w:rsidRDefault="002C410C" w:rsidP="002C410C">
            <w:pPr>
              <w:widowControl/>
              <w:numPr>
                <w:ilvl w:val="0"/>
                <w:numId w:val="36"/>
              </w:numPr>
              <w:spacing w:line="360" w:lineRule="auto"/>
              <w:jc w:val="left"/>
              <w:rPr>
                <w:rFonts w:ascii="宋体" w:hAnsi="宋体"/>
                <w:sz w:val="24"/>
              </w:rPr>
            </w:pPr>
            <w:r w:rsidRPr="00133AFD">
              <w:rPr>
                <w:rFonts w:ascii="宋体" w:hAnsi="宋体" w:hint="eastAsia"/>
                <w:sz w:val="24"/>
              </w:rPr>
              <w:t>以上电快速脉冲</w:t>
            </w:r>
            <w:proofErr w:type="gramStart"/>
            <w:r w:rsidRPr="00133AFD">
              <w:rPr>
                <w:rFonts w:ascii="宋体" w:hAnsi="宋体" w:hint="eastAsia"/>
                <w:sz w:val="24"/>
              </w:rPr>
              <w:t>群设备</w:t>
            </w:r>
            <w:proofErr w:type="gramEnd"/>
            <w:r w:rsidRPr="00133AFD">
              <w:rPr>
                <w:rFonts w:ascii="宋体" w:hAnsi="宋体" w:hint="eastAsia"/>
                <w:sz w:val="24"/>
              </w:rPr>
              <w:t>用于EMC实验室，安装完成后应保证其能满足IEC61000-4-4，EN61000-4-4，GB/T 17626.4的规范要求。</w:t>
            </w:r>
          </w:p>
          <w:p w:rsidR="002C410C" w:rsidRPr="00133AFD" w:rsidRDefault="002C410C" w:rsidP="002C410C">
            <w:pPr>
              <w:widowControl/>
              <w:numPr>
                <w:ilvl w:val="0"/>
                <w:numId w:val="18"/>
              </w:numPr>
              <w:spacing w:line="360" w:lineRule="auto"/>
              <w:jc w:val="left"/>
              <w:rPr>
                <w:rFonts w:ascii="宋体" w:hAnsi="宋体"/>
                <w:sz w:val="24"/>
              </w:rPr>
            </w:pPr>
            <w:r w:rsidRPr="00133AFD">
              <w:rPr>
                <w:rFonts w:ascii="宋体" w:hAnsi="宋体" w:hint="eastAsia"/>
                <w:sz w:val="24"/>
              </w:rPr>
              <w:t>浪涌：</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lastRenderedPageBreak/>
              <w:t>功能要求：</w:t>
            </w:r>
          </w:p>
          <w:p w:rsidR="002C410C" w:rsidRPr="00133AFD" w:rsidRDefault="002C410C" w:rsidP="002C410C">
            <w:pPr>
              <w:widowControl/>
              <w:numPr>
                <w:ilvl w:val="0"/>
                <w:numId w:val="19"/>
              </w:numPr>
              <w:spacing w:line="360" w:lineRule="auto"/>
              <w:jc w:val="left"/>
              <w:rPr>
                <w:rFonts w:ascii="宋体" w:hAnsi="宋体"/>
                <w:sz w:val="24"/>
              </w:rPr>
            </w:pPr>
            <w:r w:rsidRPr="00133AFD">
              <w:rPr>
                <w:rFonts w:ascii="宋体" w:hAnsi="宋体" w:hint="eastAsia"/>
                <w:sz w:val="24"/>
              </w:rPr>
              <w:t>工作电压</w:t>
            </w:r>
            <w:r w:rsidRPr="00133AFD">
              <w:rPr>
                <w:rFonts w:ascii="宋体" w:hAnsi="宋体"/>
                <w:sz w:val="24"/>
              </w:rPr>
              <w:t>110V/220V,</w:t>
            </w:r>
            <w:r w:rsidRPr="00133AFD">
              <w:rPr>
                <w:rFonts w:ascii="宋体" w:hAnsi="宋体" w:hint="eastAsia"/>
                <w:sz w:val="24"/>
              </w:rPr>
              <w:t>±</w:t>
            </w:r>
            <w:r w:rsidRPr="00133AFD">
              <w:rPr>
                <w:rFonts w:ascii="宋体" w:hAnsi="宋体"/>
                <w:sz w:val="24"/>
              </w:rPr>
              <w:t>10%</w:t>
            </w:r>
            <w:r w:rsidRPr="00133AFD">
              <w:rPr>
                <w:rFonts w:ascii="宋体" w:hAnsi="宋体" w:hint="eastAsia"/>
                <w:sz w:val="24"/>
              </w:rPr>
              <w:t>，</w:t>
            </w:r>
            <w:r w:rsidRPr="00133AFD">
              <w:rPr>
                <w:rFonts w:ascii="宋体" w:hAnsi="宋体"/>
                <w:sz w:val="24"/>
              </w:rPr>
              <w:t>50/60Hz</w:t>
            </w:r>
            <w:r w:rsidRPr="00133AFD">
              <w:rPr>
                <w:rFonts w:ascii="宋体" w:hAnsi="宋体" w:hint="eastAsia"/>
                <w:sz w:val="24"/>
              </w:rPr>
              <w:t>；</w:t>
            </w:r>
          </w:p>
          <w:p w:rsidR="002C410C" w:rsidRPr="00E2106F" w:rsidRDefault="002C410C" w:rsidP="002C410C">
            <w:pPr>
              <w:widowControl/>
              <w:numPr>
                <w:ilvl w:val="0"/>
                <w:numId w:val="19"/>
              </w:numPr>
              <w:spacing w:line="360" w:lineRule="auto"/>
              <w:jc w:val="left"/>
              <w:rPr>
                <w:rFonts w:ascii="宋体" w:hAnsi="宋体"/>
                <w:sz w:val="24"/>
              </w:rPr>
            </w:pPr>
            <w:r w:rsidRPr="00133AFD">
              <w:rPr>
                <w:rFonts w:ascii="宋体" w:hAnsi="宋体" w:hint="eastAsia"/>
                <w:sz w:val="24"/>
              </w:rPr>
              <w:t>试验发生器接地端与实验室的安全地相连；</w:t>
            </w:r>
          </w:p>
          <w:p w:rsidR="002C410C"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参数指标：</w:t>
            </w:r>
          </w:p>
          <w:p w:rsidR="002C410C" w:rsidRDefault="002C410C" w:rsidP="002C410C">
            <w:pPr>
              <w:widowControl/>
              <w:numPr>
                <w:ilvl w:val="0"/>
                <w:numId w:val="33"/>
              </w:numPr>
              <w:spacing w:line="360" w:lineRule="auto"/>
              <w:jc w:val="left"/>
              <w:rPr>
                <w:rFonts w:ascii="宋体" w:hAnsi="宋体"/>
                <w:sz w:val="24"/>
              </w:rPr>
            </w:pPr>
            <w:r w:rsidRPr="007147B8">
              <w:rPr>
                <w:rFonts w:ascii="宋体" w:hAnsi="宋体" w:hint="eastAsia"/>
                <w:sz w:val="24"/>
              </w:rPr>
              <w:t>发生器浪涌电压设定范围：至少为</w:t>
            </w:r>
            <w:r w:rsidRPr="00133AFD">
              <w:rPr>
                <w:rFonts w:ascii="宋体" w:hAnsi="宋体" w:hint="eastAsia"/>
                <w:sz w:val="24"/>
              </w:rPr>
              <w:t>200V～6kV</w:t>
            </w:r>
            <w:r w:rsidRPr="007147B8">
              <w:rPr>
                <w:rFonts w:ascii="宋体" w:hAnsi="宋体" w:hint="eastAsia"/>
                <w:sz w:val="24"/>
              </w:rPr>
              <w:t>；</w:t>
            </w:r>
          </w:p>
          <w:p w:rsidR="002C410C" w:rsidRPr="007147B8" w:rsidRDefault="002C410C" w:rsidP="002C410C">
            <w:pPr>
              <w:widowControl/>
              <w:numPr>
                <w:ilvl w:val="0"/>
                <w:numId w:val="33"/>
              </w:numPr>
              <w:spacing w:line="360" w:lineRule="auto"/>
              <w:jc w:val="left"/>
              <w:rPr>
                <w:rFonts w:ascii="宋体" w:hAnsi="宋体"/>
                <w:sz w:val="24"/>
              </w:rPr>
            </w:pPr>
            <w:r w:rsidRPr="007147B8">
              <w:rPr>
                <w:rFonts w:ascii="宋体" w:hAnsi="宋体" w:hint="eastAsia"/>
                <w:sz w:val="24"/>
              </w:rPr>
              <w:t>极性：正</w:t>
            </w:r>
            <w:r w:rsidRPr="007147B8">
              <w:rPr>
                <w:rFonts w:ascii="宋体" w:hAnsi="宋体"/>
                <w:sz w:val="24"/>
              </w:rPr>
              <w:t>/</w:t>
            </w:r>
            <w:r w:rsidRPr="007147B8">
              <w:rPr>
                <w:rFonts w:ascii="宋体" w:hAnsi="宋体" w:hint="eastAsia"/>
                <w:sz w:val="24"/>
              </w:rPr>
              <w:t>负</w:t>
            </w:r>
          </w:p>
          <w:p w:rsidR="002C410C" w:rsidRPr="007147B8" w:rsidRDefault="002C410C" w:rsidP="002C410C">
            <w:pPr>
              <w:widowControl/>
              <w:numPr>
                <w:ilvl w:val="0"/>
                <w:numId w:val="33"/>
              </w:numPr>
              <w:spacing w:line="360" w:lineRule="auto"/>
              <w:jc w:val="left"/>
              <w:rPr>
                <w:rFonts w:ascii="宋体" w:hAnsi="宋体"/>
                <w:sz w:val="24"/>
              </w:rPr>
            </w:pPr>
            <w:r w:rsidRPr="007147B8">
              <w:rPr>
                <w:rFonts w:ascii="宋体" w:hAnsi="宋体" w:hint="eastAsia"/>
                <w:sz w:val="24"/>
              </w:rPr>
              <w:t>相位同步：随交流电源相角在</w:t>
            </w:r>
            <w:r w:rsidRPr="007147B8">
              <w:rPr>
                <w:rFonts w:ascii="宋体" w:hAnsi="宋体"/>
                <w:sz w:val="24"/>
              </w:rPr>
              <w:t>0°</w:t>
            </w:r>
            <w:r w:rsidRPr="00133AFD">
              <w:rPr>
                <w:rFonts w:ascii="宋体" w:hAnsi="宋体" w:hint="eastAsia"/>
                <w:sz w:val="24"/>
              </w:rPr>
              <w:t>～</w:t>
            </w:r>
            <w:r w:rsidRPr="007147B8">
              <w:rPr>
                <w:rFonts w:ascii="宋体" w:hAnsi="宋体"/>
                <w:sz w:val="24"/>
              </w:rPr>
              <w:t>360°</w:t>
            </w:r>
            <w:r w:rsidRPr="007147B8">
              <w:rPr>
                <w:rFonts w:ascii="宋体" w:hAnsi="宋体" w:hint="eastAsia"/>
                <w:sz w:val="24"/>
              </w:rPr>
              <w:t>变化；</w:t>
            </w:r>
          </w:p>
          <w:p w:rsidR="002C410C" w:rsidRPr="007147B8" w:rsidRDefault="002C410C" w:rsidP="002C410C">
            <w:pPr>
              <w:widowControl/>
              <w:numPr>
                <w:ilvl w:val="0"/>
                <w:numId w:val="33"/>
              </w:numPr>
              <w:spacing w:line="360" w:lineRule="auto"/>
              <w:jc w:val="left"/>
              <w:rPr>
                <w:rFonts w:ascii="宋体" w:hAnsi="宋体"/>
                <w:sz w:val="24"/>
              </w:rPr>
            </w:pPr>
            <w:r w:rsidRPr="007147B8">
              <w:rPr>
                <w:rFonts w:ascii="宋体" w:hAnsi="宋体" w:hint="eastAsia"/>
                <w:sz w:val="24"/>
              </w:rPr>
              <w:t>重复率：每分钟至少一次；</w:t>
            </w:r>
          </w:p>
          <w:p w:rsidR="002C410C" w:rsidRPr="007147B8" w:rsidRDefault="002C410C" w:rsidP="002C410C">
            <w:pPr>
              <w:widowControl/>
              <w:numPr>
                <w:ilvl w:val="0"/>
                <w:numId w:val="33"/>
              </w:numPr>
              <w:spacing w:line="360" w:lineRule="auto"/>
              <w:jc w:val="left"/>
              <w:rPr>
                <w:rFonts w:ascii="宋体" w:hAnsi="宋体"/>
                <w:sz w:val="24"/>
              </w:rPr>
            </w:pPr>
            <w:r w:rsidRPr="007147B8">
              <w:rPr>
                <w:rFonts w:ascii="宋体" w:hAnsi="宋体" w:hint="eastAsia"/>
                <w:sz w:val="24"/>
              </w:rPr>
              <w:t>发生器等效输出阻抗：</w:t>
            </w:r>
            <w:r w:rsidRPr="007147B8">
              <w:rPr>
                <w:rFonts w:ascii="宋体" w:hAnsi="宋体"/>
                <w:sz w:val="24"/>
              </w:rPr>
              <w:t>2Ω ± 10%</w:t>
            </w:r>
            <w:r w:rsidRPr="007147B8">
              <w:rPr>
                <w:rFonts w:ascii="宋体" w:hAnsi="宋体" w:hint="eastAsia"/>
                <w:sz w:val="24"/>
              </w:rPr>
              <w:t>；</w:t>
            </w:r>
          </w:p>
          <w:p w:rsidR="002C410C" w:rsidRPr="00EB51EF" w:rsidRDefault="002C410C" w:rsidP="002C410C">
            <w:pPr>
              <w:widowControl/>
              <w:numPr>
                <w:ilvl w:val="0"/>
                <w:numId w:val="33"/>
              </w:numPr>
              <w:spacing w:line="360" w:lineRule="auto"/>
              <w:jc w:val="left"/>
            </w:pPr>
            <w:r w:rsidRPr="007147B8">
              <w:rPr>
                <w:rFonts w:ascii="宋体" w:hAnsi="宋体" w:hint="eastAsia"/>
                <w:sz w:val="24"/>
              </w:rPr>
              <w:t>发生器输出为开路情况下的浪涌电压波形：波前时间</w:t>
            </w:r>
            <w:r w:rsidRPr="007147B8">
              <w:rPr>
                <w:rFonts w:ascii="宋体" w:hAnsi="宋体"/>
                <w:sz w:val="24"/>
              </w:rPr>
              <w:t>1.2μs ± 30%</w:t>
            </w:r>
            <w:r>
              <w:rPr>
                <w:rFonts w:ascii="宋体" w:hAnsi="宋体" w:hint="eastAsia"/>
                <w:sz w:val="24"/>
              </w:rPr>
              <w:t>；</w:t>
            </w:r>
            <w:r w:rsidRPr="00EB51EF">
              <w:rPr>
                <w:rFonts w:ascii="宋体" w:hAnsi="宋体" w:hint="eastAsia"/>
                <w:sz w:val="24"/>
              </w:rPr>
              <w:t>半峰值时间</w:t>
            </w:r>
            <w:r w:rsidRPr="00EB51EF">
              <w:rPr>
                <w:rFonts w:ascii="宋体" w:hAnsi="宋体"/>
                <w:sz w:val="24"/>
              </w:rPr>
              <w:t>50μs± 20%</w:t>
            </w:r>
            <w:r>
              <w:rPr>
                <w:rFonts w:hint="eastAsia"/>
              </w:rPr>
              <w:t>；</w:t>
            </w:r>
            <w:r w:rsidRPr="00EB51EF">
              <w:rPr>
                <w:rFonts w:ascii="宋体" w:hAnsi="宋体" w:hint="eastAsia"/>
                <w:sz w:val="24"/>
              </w:rPr>
              <w:t>浪涌电压峰值误差设定值</w:t>
            </w:r>
            <w:r w:rsidRPr="00EB51EF">
              <w:rPr>
                <w:rFonts w:ascii="宋体" w:hAnsi="宋体"/>
                <w:sz w:val="24"/>
              </w:rPr>
              <w:t>±10%</w:t>
            </w:r>
          </w:p>
          <w:p w:rsidR="002C410C" w:rsidRPr="00EB51EF" w:rsidRDefault="002C410C" w:rsidP="002C410C">
            <w:pPr>
              <w:widowControl/>
              <w:numPr>
                <w:ilvl w:val="0"/>
                <w:numId w:val="33"/>
              </w:numPr>
              <w:spacing w:line="360" w:lineRule="auto"/>
              <w:jc w:val="left"/>
              <w:rPr>
                <w:rFonts w:ascii="宋体" w:hAnsi="宋体"/>
                <w:sz w:val="24"/>
              </w:rPr>
            </w:pPr>
            <w:r w:rsidRPr="00EB51EF">
              <w:rPr>
                <w:rFonts w:ascii="宋体" w:hAnsi="宋体" w:hint="eastAsia"/>
                <w:sz w:val="24"/>
              </w:rPr>
              <w:t>发生器输出为短路情况下的浪涌电流波形：波前时间</w:t>
            </w:r>
            <w:r w:rsidRPr="00EB51EF">
              <w:rPr>
                <w:rFonts w:ascii="宋体" w:hAnsi="宋体"/>
                <w:sz w:val="24"/>
              </w:rPr>
              <w:t>8μs ± 20%</w:t>
            </w:r>
            <w:r w:rsidRPr="00EB51EF">
              <w:rPr>
                <w:rFonts w:ascii="宋体" w:hAnsi="宋体" w:hint="eastAsia"/>
                <w:sz w:val="24"/>
              </w:rPr>
              <w:t>；半峰值时间</w:t>
            </w:r>
            <w:r w:rsidRPr="00EB51EF">
              <w:rPr>
                <w:rFonts w:ascii="宋体" w:hAnsi="宋体"/>
                <w:sz w:val="24"/>
              </w:rPr>
              <w:t>20μs± 20%</w:t>
            </w:r>
            <w:r>
              <w:rPr>
                <w:rFonts w:ascii="宋体" w:hAnsi="宋体" w:hint="eastAsia"/>
                <w:sz w:val="24"/>
              </w:rPr>
              <w:t>；</w:t>
            </w:r>
            <w:r w:rsidRPr="00EB51EF">
              <w:rPr>
                <w:rFonts w:ascii="宋体" w:hAnsi="宋体" w:hint="eastAsia"/>
                <w:sz w:val="24"/>
              </w:rPr>
              <w:t>浪涌电流峰值误差（电压设定值</w:t>
            </w:r>
            <w:r w:rsidRPr="00EB51EF">
              <w:rPr>
                <w:rFonts w:ascii="宋体" w:hAnsi="宋体"/>
                <w:sz w:val="24"/>
              </w:rPr>
              <w:t>÷2Ω</w:t>
            </w:r>
            <w:r w:rsidRPr="00EB51EF">
              <w:rPr>
                <w:rFonts w:ascii="宋体" w:hAnsi="宋体" w:hint="eastAsia"/>
                <w:sz w:val="24"/>
              </w:rPr>
              <w:t>）</w:t>
            </w:r>
            <w:r w:rsidRPr="00EB51EF">
              <w:rPr>
                <w:rFonts w:ascii="宋体" w:hAnsi="宋体"/>
                <w:sz w:val="24"/>
              </w:rPr>
              <w:t>±10%</w:t>
            </w:r>
          </w:p>
          <w:p w:rsidR="002C410C" w:rsidRPr="00133AFD" w:rsidRDefault="002C410C" w:rsidP="002C410C">
            <w:pPr>
              <w:widowControl/>
              <w:numPr>
                <w:ilvl w:val="0"/>
                <w:numId w:val="33"/>
              </w:numPr>
              <w:spacing w:line="360" w:lineRule="auto"/>
              <w:jc w:val="left"/>
              <w:rPr>
                <w:rFonts w:ascii="宋体" w:hAnsi="宋体"/>
                <w:sz w:val="24"/>
              </w:rPr>
            </w:pPr>
            <w:r w:rsidRPr="00133AFD">
              <w:rPr>
                <w:rFonts w:ascii="宋体" w:hAnsi="宋体" w:hint="eastAsia"/>
                <w:sz w:val="24"/>
              </w:rPr>
              <w:t>耦合去</w:t>
            </w:r>
            <w:proofErr w:type="gramStart"/>
            <w:r w:rsidRPr="00133AFD">
              <w:rPr>
                <w:rFonts w:ascii="宋体" w:hAnsi="宋体" w:hint="eastAsia"/>
                <w:sz w:val="24"/>
              </w:rPr>
              <w:t>耦</w:t>
            </w:r>
            <w:proofErr w:type="gramEnd"/>
            <w:r w:rsidRPr="00133AFD">
              <w:rPr>
                <w:rFonts w:ascii="宋体" w:hAnsi="宋体" w:hint="eastAsia"/>
                <w:sz w:val="24"/>
              </w:rPr>
              <w:t>网络：三相五线AC380V/D110V/32A，耦合电容：9/18μF,去</w:t>
            </w:r>
            <w:proofErr w:type="gramStart"/>
            <w:r w:rsidRPr="00133AFD">
              <w:rPr>
                <w:rFonts w:ascii="宋体" w:hAnsi="宋体" w:hint="eastAsia"/>
                <w:sz w:val="24"/>
              </w:rPr>
              <w:t>耦</w:t>
            </w:r>
            <w:proofErr w:type="gramEnd"/>
            <w:r w:rsidRPr="00133AFD">
              <w:rPr>
                <w:rFonts w:ascii="宋体" w:hAnsi="宋体" w:hint="eastAsia"/>
                <w:sz w:val="24"/>
              </w:rPr>
              <w:t>电感：1.5mH；</w:t>
            </w:r>
          </w:p>
          <w:p w:rsidR="002C410C" w:rsidRPr="00133AFD" w:rsidRDefault="002C410C" w:rsidP="002C410C">
            <w:pPr>
              <w:widowControl/>
              <w:numPr>
                <w:ilvl w:val="0"/>
                <w:numId w:val="33"/>
              </w:numPr>
              <w:spacing w:line="360" w:lineRule="auto"/>
              <w:jc w:val="left"/>
              <w:rPr>
                <w:rFonts w:ascii="宋体" w:hAnsi="宋体"/>
                <w:sz w:val="24"/>
              </w:rPr>
            </w:pPr>
            <w:r w:rsidRPr="00133AFD">
              <w:rPr>
                <w:rFonts w:ascii="宋体" w:hAnsi="宋体" w:hint="eastAsia"/>
                <w:sz w:val="24"/>
              </w:rPr>
              <w:t>屏蔽对称高速通信线雷击浪涌耦合去</w:t>
            </w:r>
            <w:proofErr w:type="gramStart"/>
            <w:r w:rsidRPr="00133AFD">
              <w:rPr>
                <w:rFonts w:ascii="宋体" w:hAnsi="宋体" w:hint="eastAsia"/>
                <w:sz w:val="24"/>
              </w:rPr>
              <w:t>耦</w:t>
            </w:r>
            <w:proofErr w:type="gramEnd"/>
            <w:r w:rsidRPr="00133AFD">
              <w:rPr>
                <w:rFonts w:ascii="宋体" w:hAnsi="宋体" w:hint="eastAsia"/>
                <w:sz w:val="24"/>
              </w:rPr>
              <w:t>网络：耦合波形：1.2/50μs、8/20μs；脉冲电压：6kV；数据速率：1000MBit/s；</w:t>
            </w:r>
          </w:p>
          <w:p w:rsidR="002C410C" w:rsidRPr="00133AFD" w:rsidRDefault="002C410C" w:rsidP="002C410C">
            <w:pPr>
              <w:widowControl/>
              <w:numPr>
                <w:ilvl w:val="0"/>
                <w:numId w:val="33"/>
              </w:numPr>
              <w:spacing w:line="360" w:lineRule="auto"/>
              <w:jc w:val="left"/>
              <w:rPr>
                <w:rFonts w:ascii="宋体" w:hAnsi="宋体"/>
                <w:sz w:val="24"/>
              </w:rPr>
            </w:pPr>
            <w:r w:rsidRPr="00133AFD">
              <w:rPr>
                <w:rFonts w:ascii="宋体" w:hAnsi="宋体" w:hint="eastAsia"/>
                <w:sz w:val="24"/>
              </w:rPr>
              <w:t>非屏蔽不对称通信线雷击浪涌耦合去</w:t>
            </w:r>
            <w:proofErr w:type="gramStart"/>
            <w:r w:rsidRPr="00133AFD">
              <w:rPr>
                <w:rFonts w:ascii="宋体" w:hAnsi="宋体" w:hint="eastAsia"/>
                <w:sz w:val="24"/>
              </w:rPr>
              <w:t>耦</w:t>
            </w:r>
            <w:proofErr w:type="gramEnd"/>
            <w:r w:rsidRPr="00133AFD">
              <w:rPr>
                <w:rFonts w:ascii="宋体" w:hAnsi="宋体" w:hint="eastAsia"/>
                <w:sz w:val="24"/>
              </w:rPr>
              <w:t>网络：耦合波形：1.2/50μs、8/20μs；脉冲电压：6kV；数据速率：10MBit/s；</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覆盖标准：</w:t>
            </w:r>
          </w:p>
          <w:p w:rsidR="002C410C" w:rsidRPr="00133AFD" w:rsidRDefault="002C410C" w:rsidP="002C410C">
            <w:pPr>
              <w:widowControl/>
              <w:numPr>
                <w:ilvl w:val="0"/>
                <w:numId w:val="20"/>
              </w:numPr>
              <w:spacing w:line="360" w:lineRule="auto"/>
              <w:jc w:val="left"/>
              <w:rPr>
                <w:rFonts w:ascii="宋体" w:hAnsi="宋体"/>
                <w:sz w:val="24"/>
              </w:rPr>
            </w:pPr>
            <w:r w:rsidRPr="00133AFD">
              <w:rPr>
                <w:rFonts w:ascii="宋体" w:hAnsi="宋体" w:hint="eastAsia"/>
                <w:sz w:val="24"/>
              </w:rPr>
              <w:t>以上浪</w:t>
            </w:r>
            <w:proofErr w:type="gramStart"/>
            <w:r w:rsidRPr="00133AFD">
              <w:rPr>
                <w:rFonts w:ascii="宋体" w:hAnsi="宋体" w:hint="eastAsia"/>
                <w:sz w:val="24"/>
              </w:rPr>
              <w:t>涌设备</w:t>
            </w:r>
            <w:proofErr w:type="gramEnd"/>
            <w:r w:rsidRPr="00133AFD">
              <w:rPr>
                <w:rFonts w:ascii="宋体" w:hAnsi="宋体" w:hint="eastAsia"/>
                <w:sz w:val="24"/>
              </w:rPr>
              <w:t>用于EMC实验室，安装完成后应保证其能满足IEC61000-4-5，EN61000-4-5，GB/T 17626.5的规范要求。</w:t>
            </w:r>
          </w:p>
          <w:p w:rsidR="002C410C" w:rsidRPr="00133AFD" w:rsidRDefault="00B162DC" w:rsidP="002C410C">
            <w:pPr>
              <w:widowControl/>
              <w:numPr>
                <w:ilvl w:val="0"/>
                <w:numId w:val="18"/>
              </w:numPr>
              <w:spacing w:line="360" w:lineRule="auto"/>
              <w:jc w:val="left"/>
              <w:rPr>
                <w:rFonts w:ascii="宋体" w:hAnsi="宋体"/>
                <w:sz w:val="24"/>
              </w:rPr>
            </w:pPr>
            <w:hyperlink r:id="rId12" w:tgtFrame="_blank" w:history="1">
              <w:r w:rsidR="002C410C" w:rsidRPr="00133AFD">
                <w:rPr>
                  <w:rFonts w:ascii="宋体" w:hAnsi="宋体"/>
                  <w:sz w:val="24"/>
                </w:rPr>
                <w:t>耦合去</w:t>
              </w:r>
              <w:proofErr w:type="gramStart"/>
              <w:r w:rsidR="002C410C" w:rsidRPr="00133AFD">
                <w:rPr>
                  <w:rFonts w:ascii="宋体" w:hAnsi="宋体"/>
                  <w:sz w:val="24"/>
                </w:rPr>
                <w:t>耦</w:t>
              </w:r>
              <w:proofErr w:type="gramEnd"/>
              <w:r w:rsidR="002C410C" w:rsidRPr="00133AFD">
                <w:rPr>
                  <w:rFonts w:ascii="宋体" w:hAnsi="宋体"/>
                  <w:sz w:val="24"/>
                </w:rPr>
                <w:t>网络</w:t>
              </w:r>
            </w:hyperlink>
            <w:r w:rsidR="002C410C" w:rsidRPr="00133AFD">
              <w:rPr>
                <w:rFonts w:ascii="宋体" w:hAnsi="宋体" w:hint="eastAsia"/>
                <w:sz w:val="24"/>
              </w:rPr>
              <w:t>、电磁钳：</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功能要求：</w:t>
            </w:r>
          </w:p>
          <w:p w:rsidR="002C410C" w:rsidRPr="00133AFD" w:rsidRDefault="002C410C" w:rsidP="002C410C">
            <w:pPr>
              <w:widowControl/>
              <w:numPr>
                <w:ilvl w:val="0"/>
                <w:numId w:val="21"/>
              </w:numPr>
              <w:spacing w:line="360" w:lineRule="auto"/>
              <w:jc w:val="left"/>
              <w:rPr>
                <w:rFonts w:ascii="宋体" w:hAnsi="宋体"/>
                <w:sz w:val="24"/>
              </w:rPr>
            </w:pPr>
            <w:r w:rsidRPr="00133AFD">
              <w:rPr>
                <w:rFonts w:ascii="宋体" w:hAnsi="宋体" w:hint="eastAsia"/>
                <w:sz w:val="24"/>
              </w:rPr>
              <w:t>三相五线制耦合去</w:t>
            </w:r>
            <w:proofErr w:type="gramStart"/>
            <w:r w:rsidRPr="00133AFD">
              <w:rPr>
                <w:rFonts w:ascii="宋体" w:hAnsi="宋体" w:hint="eastAsia"/>
                <w:sz w:val="24"/>
              </w:rPr>
              <w:t>耦</w:t>
            </w:r>
            <w:proofErr w:type="gramEnd"/>
            <w:r w:rsidRPr="00133AFD">
              <w:rPr>
                <w:rFonts w:ascii="宋体" w:hAnsi="宋体" w:hint="eastAsia"/>
                <w:sz w:val="24"/>
              </w:rPr>
              <w:t>网络；</w:t>
            </w:r>
          </w:p>
          <w:p w:rsidR="002C410C" w:rsidRPr="00133AFD" w:rsidRDefault="002C410C" w:rsidP="002C410C">
            <w:pPr>
              <w:widowControl/>
              <w:numPr>
                <w:ilvl w:val="0"/>
                <w:numId w:val="21"/>
              </w:numPr>
              <w:spacing w:line="360" w:lineRule="auto"/>
              <w:jc w:val="left"/>
              <w:rPr>
                <w:rFonts w:ascii="宋体" w:hAnsi="宋体"/>
                <w:sz w:val="24"/>
              </w:rPr>
            </w:pPr>
            <w:r w:rsidRPr="00133AFD">
              <w:rPr>
                <w:rFonts w:ascii="宋体" w:hAnsi="宋体" w:hint="eastAsia"/>
                <w:sz w:val="24"/>
              </w:rPr>
              <w:t>铁氧体管电磁钳；</w:t>
            </w:r>
          </w:p>
          <w:p w:rsidR="002C410C" w:rsidRPr="00133AFD" w:rsidRDefault="002C410C" w:rsidP="002C410C">
            <w:pPr>
              <w:spacing w:line="360" w:lineRule="auto"/>
              <w:rPr>
                <w:rFonts w:ascii="宋体" w:hAnsi="宋体"/>
                <w:sz w:val="24"/>
              </w:rPr>
            </w:pPr>
            <w:r w:rsidRPr="00133AFD">
              <w:rPr>
                <w:rStyle w:val="apple-converted-space"/>
                <w:rFonts w:ascii="宋体" w:hAnsi="宋体" w:hint="eastAsia"/>
                <w:sz w:val="24"/>
              </w:rPr>
              <w:t>参数指标：</w:t>
            </w:r>
          </w:p>
          <w:p w:rsidR="002C410C" w:rsidRPr="00133AFD" w:rsidRDefault="00B162DC" w:rsidP="002C410C">
            <w:pPr>
              <w:widowControl/>
              <w:numPr>
                <w:ilvl w:val="0"/>
                <w:numId w:val="22"/>
              </w:numPr>
              <w:spacing w:line="360" w:lineRule="auto"/>
              <w:jc w:val="left"/>
              <w:rPr>
                <w:rFonts w:ascii="宋体" w:hAnsi="宋体"/>
                <w:sz w:val="24"/>
              </w:rPr>
            </w:pPr>
            <w:hyperlink r:id="rId13" w:tgtFrame="_blank" w:history="1">
              <w:r w:rsidR="002C410C" w:rsidRPr="00133AFD">
                <w:rPr>
                  <w:rFonts w:ascii="宋体" w:hAnsi="宋体"/>
                  <w:sz w:val="24"/>
                </w:rPr>
                <w:t>耦合去</w:t>
              </w:r>
              <w:proofErr w:type="gramStart"/>
              <w:r w:rsidR="002C410C" w:rsidRPr="00133AFD">
                <w:rPr>
                  <w:rFonts w:ascii="宋体" w:hAnsi="宋体"/>
                  <w:sz w:val="24"/>
                </w:rPr>
                <w:t>耦</w:t>
              </w:r>
              <w:proofErr w:type="gramEnd"/>
              <w:r w:rsidR="002C410C" w:rsidRPr="00133AFD">
                <w:rPr>
                  <w:rFonts w:ascii="宋体" w:hAnsi="宋体"/>
                  <w:sz w:val="24"/>
                </w:rPr>
                <w:t>网络</w:t>
              </w:r>
            </w:hyperlink>
            <w:r w:rsidR="002C410C" w:rsidRPr="00133AFD">
              <w:rPr>
                <w:rFonts w:ascii="宋体" w:hAnsi="宋体" w:hint="eastAsia"/>
                <w:sz w:val="24"/>
              </w:rPr>
              <w:t>频率范围</w:t>
            </w:r>
            <w:r w:rsidR="002C410C" w:rsidRPr="00133AFD">
              <w:rPr>
                <w:rFonts w:ascii="宋体" w:hAnsi="宋体"/>
                <w:sz w:val="24"/>
              </w:rPr>
              <w:t xml:space="preserve">: 150kHz </w:t>
            </w:r>
            <w:r w:rsidR="002C410C" w:rsidRPr="00133AFD">
              <w:rPr>
                <w:rFonts w:ascii="宋体" w:hAnsi="宋体" w:hint="eastAsia"/>
                <w:sz w:val="24"/>
              </w:rPr>
              <w:t>～</w:t>
            </w:r>
            <w:r w:rsidR="002C410C" w:rsidRPr="00133AFD">
              <w:rPr>
                <w:rFonts w:ascii="宋体" w:hAnsi="宋体"/>
                <w:sz w:val="24"/>
              </w:rPr>
              <w:t xml:space="preserve"> 230MHz</w:t>
            </w:r>
            <w:r w:rsidR="002C410C" w:rsidRPr="00133AFD">
              <w:rPr>
                <w:rFonts w:ascii="宋体" w:hAnsi="宋体" w:hint="eastAsia"/>
                <w:sz w:val="24"/>
              </w:rPr>
              <w:t>；最大电流</w:t>
            </w:r>
            <w:r w:rsidR="002C410C" w:rsidRPr="00133AFD">
              <w:rPr>
                <w:rFonts w:ascii="宋体" w:hAnsi="宋体"/>
                <w:sz w:val="24"/>
              </w:rPr>
              <w:t>:32A</w:t>
            </w:r>
            <w:r w:rsidR="002C410C" w:rsidRPr="00133AFD">
              <w:rPr>
                <w:rFonts w:ascii="宋体" w:hAnsi="宋体" w:hint="eastAsia"/>
                <w:sz w:val="24"/>
              </w:rPr>
              <w:t>（DC&amp;AC）；</w:t>
            </w:r>
          </w:p>
          <w:p w:rsidR="002C410C" w:rsidRPr="00133AFD" w:rsidRDefault="002C410C" w:rsidP="002C410C">
            <w:pPr>
              <w:widowControl/>
              <w:numPr>
                <w:ilvl w:val="0"/>
                <w:numId w:val="22"/>
              </w:numPr>
              <w:spacing w:line="360" w:lineRule="auto"/>
              <w:jc w:val="left"/>
              <w:rPr>
                <w:rFonts w:ascii="宋体" w:hAnsi="宋体"/>
                <w:sz w:val="24"/>
              </w:rPr>
            </w:pPr>
            <w:r w:rsidRPr="00133AFD">
              <w:rPr>
                <w:rFonts w:ascii="宋体" w:hAnsi="宋体" w:hint="eastAsia"/>
                <w:sz w:val="24"/>
              </w:rPr>
              <w:t>电磁钳：频率范围</w:t>
            </w:r>
            <w:r w:rsidRPr="00133AFD">
              <w:rPr>
                <w:rFonts w:ascii="宋体" w:hAnsi="宋体"/>
                <w:sz w:val="24"/>
              </w:rPr>
              <w:t xml:space="preserve">: 10kHz </w:t>
            </w:r>
            <w:r w:rsidRPr="00133AFD">
              <w:rPr>
                <w:rFonts w:ascii="宋体" w:hAnsi="宋体" w:hint="eastAsia"/>
                <w:sz w:val="24"/>
              </w:rPr>
              <w:t>～1G</w:t>
            </w:r>
            <w:r w:rsidRPr="00133AFD">
              <w:rPr>
                <w:rFonts w:ascii="宋体" w:hAnsi="宋体"/>
                <w:sz w:val="24"/>
              </w:rPr>
              <w:t>Hz</w:t>
            </w:r>
            <w:r w:rsidRPr="00133AFD">
              <w:rPr>
                <w:rFonts w:ascii="宋体" w:hAnsi="宋体" w:hint="eastAsia"/>
                <w:sz w:val="24"/>
              </w:rPr>
              <w:t>，最大输入：</w:t>
            </w:r>
            <w:r w:rsidRPr="00133AFD">
              <w:rPr>
                <w:rFonts w:ascii="宋体" w:hAnsi="宋体"/>
                <w:sz w:val="24"/>
              </w:rPr>
              <w:t xml:space="preserve">10kHz </w:t>
            </w:r>
            <w:r w:rsidRPr="00133AFD">
              <w:rPr>
                <w:rFonts w:ascii="宋体" w:hAnsi="宋体" w:hint="eastAsia"/>
                <w:sz w:val="24"/>
              </w:rPr>
              <w:t>～230M</w:t>
            </w:r>
            <w:r w:rsidRPr="00133AFD">
              <w:rPr>
                <w:rFonts w:ascii="宋体" w:hAnsi="宋体"/>
                <w:sz w:val="24"/>
              </w:rPr>
              <w:t>Hz</w:t>
            </w:r>
            <w:r w:rsidRPr="00133AFD">
              <w:rPr>
                <w:rFonts w:ascii="宋体" w:hAnsi="宋体" w:hint="eastAsia"/>
                <w:sz w:val="24"/>
              </w:rPr>
              <w:t xml:space="preserve"> 100W,230M</w:t>
            </w:r>
            <w:r w:rsidRPr="00133AFD">
              <w:rPr>
                <w:rFonts w:ascii="宋体" w:hAnsi="宋体"/>
                <w:sz w:val="24"/>
              </w:rPr>
              <w:t xml:space="preserve">Hz </w:t>
            </w:r>
            <w:r w:rsidRPr="00133AFD">
              <w:rPr>
                <w:rFonts w:ascii="宋体" w:hAnsi="宋体" w:hint="eastAsia"/>
                <w:sz w:val="24"/>
              </w:rPr>
              <w:t>～1G</w:t>
            </w:r>
            <w:r w:rsidRPr="00133AFD">
              <w:rPr>
                <w:rFonts w:ascii="宋体" w:hAnsi="宋体"/>
                <w:sz w:val="24"/>
              </w:rPr>
              <w:t>Hz</w:t>
            </w:r>
            <w:r w:rsidRPr="00133AFD">
              <w:rPr>
                <w:rFonts w:ascii="宋体" w:hAnsi="宋体" w:hint="eastAsia"/>
                <w:sz w:val="24"/>
              </w:rPr>
              <w:t xml:space="preserve">  50W，</w:t>
            </w:r>
            <w:r w:rsidRPr="00133AFD">
              <w:rPr>
                <w:rFonts w:ascii="宋体" w:hAnsi="宋体"/>
                <w:sz w:val="24"/>
              </w:rPr>
              <w:t>最大修正系数</w:t>
            </w:r>
            <w:r w:rsidRPr="00133AFD">
              <w:rPr>
                <w:rFonts w:ascii="宋体" w:hAnsi="宋体" w:hint="eastAsia"/>
                <w:sz w:val="24"/>
              </w:rPr>
              <w:t>:</w:t>
            </w:r>
            <w:r w:rsidRPr="00133AFD">
              <w:rPr>
                <w:rFonts w:ascii="宋体" w:hAnsi="宋体"/>
                <w:sz w:val="24"/>
              </w:rPr>
              <w:t xml:space="preserve"> 0.15 to 400 MHz: 4 dB (50 </w:t>
            </w:r>
            <w:r w:rsidRPr="00133AFD">
              <w:rPr>
                <w:rFonts w:ascii="宋体" w:hAnsi="宋体"/>
                <w:sz w:val="24"/>
              </w:rPr>
              <w:lastRenderedPageBreak/>
              <w:t>Ω system)</w:t>
            </w:r>
            <w:r w:rsidRPr="00133AFD">
              <w:rPr>
                <w:rFonts w:ascii="宋体" w:hAnsi="宋体" w:hint="eastAsia"/>
                <w:sz w:val="24"/>
              </w:rPr>
              <w:t>；</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覆盖标准：</w:t>
            </w:r>
          </w:p>
          <w:p w:rsidR="002C410C" w:rsidRPr="00133AFD" w:rsidRDefault="002C410C" w:rsidP="002C410C">
            <w:pPr>
              <w:widowControl/>
              <w:numPr>
                <w:ilvl w:val="0"/>
                <w:numId w:val="25"/>
              </w:numPr>
              <w:spacing w:line="360" w:lineRule="auto"/>
              <w:jc w:val="left"/>
              <w:rPr>
                <w:rFonts w:ascii="宋体" w:hAnsi="宋体"/>
                <w:sz w:val="24"/>
              </w:rPr>
            </w:pPr>
            <w:r w:rsidRPr="00133AFD">
              <w:rPr>
                <w:rFonts w:ascii="宋体" w:hAnsi="宋体" w:hint="eastAsia"/>
                <w:sz w:val="24"/>
              </w:rPr>
              <w:t>以上</w:t>
            </w:r>
            <w:r w:rsidRPr="00133AFD">
              <w:rPr>
                <w:rFonts w:ascii="宋体" w:hAnsi="宋体"/>
                <w:sz w:val="24"/>
              </w:rPr>
              <w:t>耦合去</w:t>
            </w:r>
            <w:proofErr w:type="gramStart"/>
            <w:r w:rsidRPr="00133AFD">
              <w:rPr>
                <w:rFonts w:ascii="宋体" w:hAnsi="宋体"/>
                <w:sz w:val="24"/>
              </w:rPr>
              <w:t>耦</w:t>
            </w:r>
            <w:proofErr w:type="gramEnd"/>
            <w:r w:rsidRPr="00133AFD">
              <w:rPr>
                <w:rFonts w:ascii="宋体" w:hAnsi="宋体"/>
                <w:sz w:val="24"/>
              </w:rPr>
              <w:t>网络</w:t>
            </w:r>
            <w:r w:rsidRPr="00133AFD">
              <w:rPr>
                <w:rFonts w:ascii="宋体" w:hAnsi="宋体" w:hint="eastAsia"/>
                <w:sz w:val="24"/>
              </w:rPr>
              <w:t>用于EMC实验室，安装完成后应保证其能满足IEC61000-4-6，EN61000-4-6，GB/T 17626.6的规范要求。</w:t>
            </w:r>
          </w:p>
          <w:p w:rsidR="002C410C" w:rsidRPr="00133AFD" w:rsidRDefault="002C410C" w:rsidP="002C410C">
            <w:pPr>
              <w:widowControl/>
              <w:numPr>
                <w:ilvl w:val="0"/>
                <w:numId w:val="18"/>
              </w:numPr>
              <w:spacing w:line="360" w:lineRule="auto"/>
              <w:jc w:val="left"/>
              <w:rPr>
                <w:rFonts w:ascii="宋体" w:hAnsi="宋体"/>
                <w:sz w:val="24"/>
              </w:rPr>
            </w:pPr>
            <w:r w:rsidRPr="00133AFD">
              <w:rPr>
                <w:rFonts w:ascii="宋体" w:hAnsi="宋体" w:hint="eastAsia"/>
                <w:sz w:val="24"/>
              </w:rPr>
              <w:t>工频磁场发生器：</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功能要求：</w:t>
            </w:r>
          </w:p>
          <w:p w:rsidR="002C410C" w:rsidRPr="00133AFD" w:rsidRDefault="002C410C" w:rsidP="002C410C">
            <w:pPr>
              <w:widowControl/>
              <w:numPr>
                <w:ilvl w:val="0"/>
                <w:numId w:val="23"/>
              </w:numPr>
              <w:spacing w:line="360" w:lineRule="auto"/>
              <w:jc w:val="left"/>
              <w:rPr>
                <w:rFonts w:ascii="宋体" w:hAnsi="宋体"/>
                <w:sz w:val="24"/>
              </w:rPr>
            </w:pPr>
            <w:r w:rsidRPr="00133AFD">
              <w:rPr>
                <w:rFonts w:ascii="宋体" w:hAnsi="宋体" w:hint="eastAsia"/>
                <w:sz w:val="24"/>
              </w:rPr>
              <w:t>工作电压</w:t>
            </w:r>
            <w:r w:rsidRPr="00133AFD">
              <w:rPr>
                <w:rFonts w:ascii="宋体" w:hAnsi="宋体"/>
                <w:sz w:val="24"/>
              </w:rPr>
              <w:t>220V</w:t>
            </w:r>
            <w:r>
              <w:rPr>
                <w:rFonts w:ascii="宋体" w:hAnsi="宋体" w:hint="eastAsia"/>
                <w:sz w:val="24"/>
              </w:rPr>
              <w:t>/380V</w:t>
            </w:r>
            <w:r w:rsidRPr="00133AFD">
              <w:rPr>
                <w:rFonts w:ascii="宋体" w:hAnsi="宋体"/>
                <w:sz w:val="24"/>
              </w:rPr>
              <w:t>,</w:t>
            </w:r>
            <w:r w:rsidRPr="00133AFD">
              <w:rPr>
                <w:rFonts w:ascii="宋体" w:hAnsi="宋体" w:hint="eastAsia"/>
                <w:sz w:val="24"/>
              </w:rPr>
              <w:t>±</w:t>
            </w:r>
            <w:r w:rsidRPr="00133AFD">
              <w:rPr>
                <w:rFonts w:ascii="宋体" w:hAnsi="宋体"/>
                <w:sz w:val="24"/>
              </w:rPr>
              <w:t>10%</w:t>
            </w:r>
            <w:r w:rsidRPr="00133AFD">
              <w:rPr>
                <w:rFonts w:ascii="宋体" w:hAnsi="宋体" w:hint="eastAsia"/>
                <w:sz w:val="24"/>
              </w:rPr>
              <w:t>，</w:t>
            </w:r>
            <w:r w:rsidRPr="00133AFD">
              <w:rPr>
                <w:rFonts w:ascii="宋体" w:hAnsi="宋体"/>
                <w:sz w:val="24"/>
              </w:rPr>
              <w:t>50/60Hz</w:t>
            </w:r>
            <w:r>
              <w:rPr>
                <w:rFonts w:ascii="宋体" w:hAnsi="宋体" w:hint="eastAsia"/>
                <w:sz w:val="24"/>
              </w:rPr>
              <w:t>；</w:t>
            </w:r>
          </w:p>
          <w:p w:rsidR="002C410C" w:rsidRPr="00133AFD" w:rsidRDefault="002C410C" w:rsidP="002C410C">
            <w:pPr>
              <w:widowControl/>
              <w:numPr>
                <w:ilvl w:val="0"/>
                <w:numId w:val="23"/>
              </w:numPr>
              <w:spacing w:line="360" w:lineRule="auto"/>
              <w:jc w:val="left"/>
              <w:rPr>
                <w:rFonts w:ascii="宋体" w:hAnsi="宋体"/>
                <w:sz w:val="24"/>
              </w:rPr>
            </w:pPr>
            <w:r w:rsidRPr="00133AFD">
              <w:rPr>
                <w:rFonts w:ascii="宋体" w:hAnsi="宋体" w:hint="eastAsia"/>
                <w:sz w:val="24"/>
              </w:rPr>
              <w:t>短路情况下的可操作性；</w:t>
            </w:r>
          </w:p>
          <w:p w:rsidR="002C410C" w:rsidRPr="00133AFD" w:rsidRDefault="002C410C" w:rsidP="002C410C">
            <w:pPr>
              <w:widowControl/>
              <w:numPr>
                <w:ilvl w:val="0"/>
                <w:numId w:val="23"/>
              </w:numPr>
              <w:spacing w:line="360" w:lineRule="auto"/>
              <w:jc w:val="left"/>
              <w:rPr>
                <w:rFonts w:ascii="宋体" w:hAnsi="宋体"/>
                <w:sz w:val="24"/>
              </w:rPr>
            </w:pPr>
            <w:r w:rsidRPr="00133AFD">
              <w:rPr>
                <w:rFonts w:ascii="宋体" w:hAnsi="宋体" w:hint="eastAsia"/>
                <w:sz w:val="24"/>
              </w:rPr>
              <w:t>试验发生器接地端与实验室的安全地相连；</w:t>
            </w:r>
          </w:p>
          <w:p w:rsidR="002C410C" w:rsidRPr="00133AFD" w:rsidRDefault="002C410C" w:rsidP="002C410C">
            <w:pPr>
              <w:spacing w:line="360" w:lineRule="auto"/>
              <w:rPr>
                <w:rFonts w:ascii="宋体" w:hAnsi="宋体"/>
                <w:sz w:val="24"/>
              </w:rPr>
            </w:pPr>
            <w:r w:rsidRPr="00133AFD">
              <w:rPr>
                <w:rStyle w:val="apple-converted-space"/>
                <w:rFonts w:ascii="宋体" w:hAnsi="宋体" w:hint="eastAsia"/>
                <w:sz w:val="24"/>
              </w:rPr>
              <w:t>参数指标：</w:t>
            </w:r>
          </w:p>
          <w:p w:rsidR="002C410C" w:rsidRPr="00133AFD" w:rsidRDefault="002C410C" w:rsidP="002C410C">
            <w:pPr>
              <w:widowControl/>
              <w:numPr>
                <w:ilvl w:val="0"/>
                <w:numId w:val="24"/>
              </w:numPr>
              <w:spacing w:line="360" w:lineRule="auto"/>
              <w:jc w:val="left"/>
              <w:rPr>
                <w:rFonts w:ascii="宋体" w:hAnsi="宋体"/>
                <w:sz w:val="24"/>
              </w:rPr>
            </w:pPr>
            <w:r w:rsidRPr="00133AFD">
              <w:rPr>
                <w:rFonts w:ascii="宋体" w:hAnsi="宋体" w:hint="eastAsia"/>
                <w:sz w:val="24"/>
              </w:rPr>
              <w:t>磁场强度</w:t>
            </w:r>
            <w:r w:rsidRPr="00133AFD">
              <w:rPr>
                <w:rFonts w:ascii="宋体" w:hAnsi="宋体"/>
                <w:sz w:val="24"/>
              </w:rPr>
              <w:t>:1-100A/m (</w:t>
            </w:r>
            <w:r w:rsidRPr="00133AFD">
              <w:rPr>
                <w:rFonts w:ascii="宋体" w:hAnsi="宋体" w:hint="eastAsia"/>
                <w:sz w:val="24"/>
              </w:rPr>
              <w:t>可以持续测试</w:t>
            </w:r>
            <w:r w:rsidRPr="00133AFD">
              <w:rPr>
                <w:rFonts w:ascii="宋体" w:hAnsi="宋体"/>
                <w:sz w:val="24"/>
              </w:rPr>
              <w:t>) 100-1200A/m (1-10s)</w:t>
            </w:r>
            <w:r w:rsidRPr="00133AFD">
              <w:rPr>
                <w:rFonts w:ascii="宋体" w:hAnsi="宋体" w:hint="eastAsia"/>
                <w:sz w:val="24"/>
              </w:rPr>
              <w:t>；</w:t>
            </w:r>
          </w:p>
          <w:p w:rsidR="002C410C" w:rsidRPr="00133AFD" w:rsidRDefault="002C410C" w:rsidP="002C410C">
            <w:pPr>
              <w:widowControl/>
              <w:numPr>
                <w:ilvl w:val="0"/>
                <w:numId w:val="24"/>
              </w:numPr>
              <w:spacing w:line="360" w:lineRule="auto"/>
              <w:jc w:val="left"/>
              <w:rPr>
                <w:rFonts w:ascii="宋体" w:hAnsi="宋体"/>
                <w:sz w:val="24"/>
              </w:rPr>
            </w:pPr>
            <w:r w:rsidRPr="00133AFD">
              <w:rPr>
                <w:rFonts w:ascii="宋体" w:hAnsi="宋体" w:hint="eastAsia"/>
                <w:sz w:val="24"/>
              </w:rPr>
              <w:t>电流波形：</w:t>
            </w:r>
            <w:r w:rsidRPr="00133AFD">
              <w:rPr>
                <w:rFonts w:ascii="宋体" w:hAnsi="宋体"/>
                <w:sz w:val="24"/>
              </w:rPr>
              <w:t>50/60Hz</w:t>
            </w:r>
            <w:r w:rsidRPr="00133AFD">
              <w:rPr>
                <w:rFonts w:ascii="宋体" w:hAnsi="宋体" w:hint="eastAsia"/>
                <w:sz w:val="24"/>
              </w:rPr>
              <w:t>正弦波；</w:t>
            </w:r>
          </w:p>
          <w:p w:rsidR="002C410C" w:rsidRPr="00133AFD" w:rsidRDefault="002C410C" w:rsidP="002C410C">
            <w:pPr>
              <w:widowControl/>
              <w:numPr>
                <w:ilvl w:val="0"/>
                <w:numId w:val="24"/>
              </w:numPr>
              <w:spacing w:line="360" w:lineRule="auto"/>
              <w:jc w:val="left"/>
              <w:rPr>
                <w:rFonts w:ascii="宋体" w:hAnsi="宋体"/>
                <w:sz w:val="24"/>
              </w:rPr>
            </w:pPr>
            <w:r w:rsidRPr="00133AFD">
              <w:rPr>
                <w:rFonts w:ascii="宋体" w:hAnsi="宋体" w:hint="eastAsia"/>
                <w:sz w:val="24"/>
              </w:rPr>
              <w:t>磁场线圈尺寸：</w:t>
            </w:r>
            <w:r w:rsidRPr="00133AFD">
              <w:rPr>
                <w:rFonts w:ascii="宋体" w:hAnsi="宋体"/>
                <w:sz w:val="24"/>
              </w:rPr>
              <w:t>1000*1000mm</w:t>
            </w:r>
            <w:r w:rsidRPr="00133AFD">
              <w:rPr>
                <w:rFonts w:ascii="宋体" w:hAnsi="宋体" w:hint="eastAsia"/>
                <w:sz w:val="24"/>
              </w:rPr>
              <w:t>；</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覆盖标准：</w:t>
            </w:r>
          </w:p>
          <w:p w:rsidR="002C410C" w:rsidRPr="00133AFD" w:rsidRDefault="002C410C" w:rsidP="002C410C">
            <w:pPr>
              <w:widowControl/>
              <w:numPr>
                <w:ilvl w:val="0"/>
                <w:numId w:val="26"/>
              </w:numPr>
              <w:spacing w:line="360" w:lineRule="auto"/>
              <w:jc w:val="left"/>
              <w:rPr>
                <w:rFonts w:ascii="宋体" w:hAnsi="宋体"/>
                <w:sz w:val="24"/>
              </w:rPr>
            </w:pPr>
            <w:r w:rsidRPr="00133AFD">
              <w:rPr>
                <w:rFonts w:ascii="宋体" w:hAnsi="宋体" w:hint="eastAsia"/>
                <w:sz w:val="24"/>
              </w:rPr>
              <w:t>以上工频磁场发生器用于EMC实验室，安装完成后应保证其能满足IEC61000-4-8，EN61000-4-8，GB/T 17626.8的规范要求。</w:t>
            </w:r>
          </w:p>
          <w:p w:rsidR="002C410C" w:rsidRPr="00133AFD" w:rsidRDefault="002C410C" w:rsidP="002C410C">
            <w:pPr>
              <w:widowControl/>
              <w:numPr>
                <w:ilvl w:val="0"/>
                <w:numId w:val="18"/>
              </w:numPr>
              <w:spacing w:line="360" w:lineRule="auto"/>
              <w:jc w:val="left"/>
              <w:rPr>
                <w:rFonts w:ascii="宋体" w:hAnsi="宋体"/>
                <w:sz w:val="24"/>
              </w:rPr>
            </w:pPr>
            <w:r w:rsidRPr="00133AFD">
              <w:rPr>
                <w:rFonts w:ascii="宋体" w:hAnsi="宋体" w:hint="eastAsia"/>
                <w:sz w:val="24"/>
              </w:rPr>
              <w:t>振铃波发生器：</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功能要求：</w:t>
            </w:r>
          </w:p>
          <w:p w:rsidR="002C410C" w:rsidRPr="00133AFD" w:rsidRDefault="002C410C" w:rsidP="002C410C">
            <w:pPr>
              <w:widowControl/>
              <w:numPr>
                <w:ilvl w:val="0"/>
                <w:numId w:val="27"/>
              </w:numPr>
              <w:spacing w:line="360" w:lineRule="auto"/>
              <w:jc w:val="left"/>
              <w:rPr>
                <w:rFonts w:ascii="宋体" w:hAnsi="宋体"/>
                <w:sz w:val="24"/>
              </w:rPr>
            </w:pPr>
            <w:r w:rsidRPr="00133AFD">
              <w:rPr>
                <w:rFonts w:ascii="宋体" w:hAnsi="宋体" w:hint="eastAsia"/>
                <w:sz w:val="24"/>
              </w:rPr>
              <w:t>工作电压</w:t>
            </w:r>
            <w:r w:rsidRPr="00133AFD">
              <w:rPr>
                <w:rFonts w:ascii="宋体" w:hAnsi="宋体"/>
                <w:sz w:val="24"/>
              </w:rPr>
              <w:t>220V</w:t>
            </w:r>
            <w:r>
              <w:rPr>
                <w:rFonts w:ascii="宋体" w:hAnsi="宋体" w:hint="eastAsia"/>
                <w:sz w:val="24"/>
              </w:rPr>
              <w:t>/380V</w:t>
            </w:r>
            <w:r w:rsidRPr="00133AFD">
              <w:rPr>
                <w:rFonts w:ascii="宋体" w:hAnsi="宋体"/>
                <w:sz w:val="24"/>
              </w:rPr>
              <w:t>,</w:t>
            </w:r>
            <w:r w:rsidRPr="00133AFD">
              <w:rPr>
                <w:rFonts w:ascii="宋体" w:hAnsi="宋体" w:hint="eastAsia"/>
                <w:sz w:val="24"/>
              </w:rPr>
              <w:t>±</w:t>
            </w:r>
            <w:r w:rsidRPr="00133AFD">
              <w:rPr>
                <w:rFonts w:ascii="宋体" w:hAnsi="宋体"/>
                <w:sz w:val="24"/>
              </w:rPr>
              <w:t>10%</w:t>
            </w:r>
            <w:r w:rsidRPr="00133AFD">
              <w:rPr>
                <w:rFonts w:ascii="宋体" w:hAnsi="宋体" w:hint="eastAsia"/>
                <w:sz w:val="24"/>
              </w:rPr>
              <w:t>，</w:t>
            </w:r>
            <w:r w:rsidRPr="00133AFD">
              <w:rPr>
                <w:rFonts w:ascii="宋体" w:hAnsi="宋体"/>
                <w:sz w:val="24"/>
              </w:rPr>
              <w:t>50/60Hz</w:t>
            </w:r>
            <w:r>
              <w:rPr>
                <w:rFonts w:ascii="宋体" w:hAnsi="宋体" w:hint="eastAsia"/>
                <w:sz w:val="24"/>
              </w:rPr>
              <w:t>；</w:t>
            </w:r>
          </w:p>
          <w:p w:rsidR="002C410C" w:rsidRPr="00133AFD" w:rsidRDefault="002C410C" w:rsidP="002C410C">
            <w:pPr>
              <w:spacing w:line="360" w:lineRule="auto"/>
              <w:rPr>
                <w:rFonts w:ascii="宋体" w:hAnsi="宋体"/>
                <w:sz w:val="24"/>
              </w:rPr>
            </w:pPr>
            <w:r w:rsidRPr="00133AFD">
              <w:rPr>
                <w:rStyle w:val="apple-converted-space"/>
                <w:rFonts w:ascii="宋体" w:hAnsi="宋体" w:hint="eastAsia"/>
                <w:sz w:val="24"/>
              </w:rPr>
              <w:t>参数指标：</w:t>
            </w:r>
          </w:p>
          <w:p w:rsidR="002C410C" w:rsidRPr="00133AFD" w:rsidRDefault="002C410C" w:rsidP="002C410C">
            <w:pPr>
              <w:widowControl/>
              <w:numPr>
                <w:ilvl w:val="0"/>
                <w:numId w:val="28"/>
              </w:numPr>
              <w:spacing w:line="360" w:lineRule="auto"/>
              <w:jc w:val="left"/>
              <w:rPr>
                <w:rFonts w:ascii="宋体" w:hAnsi="宋体"/>
                <w:sz w:val="24"/>
              </w:rPr>
            </w:pPr>
            <w:r w:rsidRPr="00133AFD">
              <w:rPr>
                <w:rFonts w:ascii="宋体" w:hAnsi="宋体" w:hint="eastAsia"/>
                <w:sz w:val="24"/>
              </w:rPr>
              <w:t>输出电压：0～6kV；</w:t>
            </w:r>
          </w:p>
          <w:p w:rsidR="002C410C" w:rsidRPr="00133AFD" w:rsidRDefault="002C410C" w:rsidP="002C410C">
            <w:pPr>
              <w:widowControl/>
              <w:numPr>
                <w:ilvl w:val="0"/>
                <w:numId w:val="28"/>
              </w:numPr>
              <w:spacing w:line="360" w:lineRule="auto"/>
              <w:jc w:val="left"/>
              <w:rPr>
                <w:rFonts w:ascii="宋体" w:hAnsi="宋体"/>
                <w:sz w:val="24"/>
              </w:rPr>
            </w:pPr>
            <w:r w:rsidRPr="00133AFD">
              <w:rPr>
                <w:rFonts w:ascii="宋体" w:hAnsi="宋体" w:hint="eastAsia"/>
                <w:sz w:val="24"/>
              </w:rPr>
              <w:t xml:space="preserve">振荡频率：100kHz±10%； </w:t>
            </w:r>
          </w:p>
          <w:p w:rsidR="002C410C" w:rsidRPr="00133AFD" w:rsidRDefault="002C410C" w:rsidP="002C410C">
            <w:pPr>
              <w:widowControl/>
              <w:numPr>
                <w:ilvl w:val="0"/>
                <w:numId w:val="28"/>
              </w:numPr>
              <w:spacing w:line="360" w:lineRule="auto"/>
              <w:jc w:val="left"/>
              <w:rPr>
                <w:rFonts w:ascii="宋体" w:hAnsi="宋体"/>
                <w:sz w:val="24"/>
              </w:rPr>
            </w:pPr>
            <w:r w:rsidRPr="00133AFD">
              <w:rPr>
                <w:rFonts w:ascii="宋体" w:hAnsi="宋体" w:hint="eastAsia"/>
                <w:sz w:val="24"/>
              </w:rPr>
              <w:t>输出阻抗：12Ω、30Ω；</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覆盖标准：</w:t>
            </w:r>
          </w:p>
          <w:p w:rsidR="002C410C" w:rsidRPr="00133AFD" w:rsidRDefault="002C410C" w:rsidP="002C410C">
            <w:pPr>
              <w:widowControl/>
              <w:numPr>
                <w:ilvl w:val="0"/>
                <w:numId w:val="29"/>
              </w:numPr>
              <w:spacing w:line="360" w:lineRule="auto"/>
              <w:jc w:val="left"/>
              <w:rPr>
                <w:rFonts w:ascii="宋体" w:hAnsi="宋体"/>
                <w:sz w:val="24"/>
              </w:rPr>
            </w:pPr>
            <w:r w:rsidRPr="00133AFD">
              <w:rPr>
                <w:rFonts w:ascii="宋体" w:hAnsi="宋体" w:hint="eastAsia"/>
                <w:sz w:val="24"/>
              </w:rPr>
              <w:t>以上振铃波发生器用于EMC实验室，安装完成后应保证其能满足IEC61000-4-12，EN61000-4-12，GB/T 17626.12的规范要求。</w:t>
            </w:r>
          </w:p>
          <w:p w:rsidR="002C410C" w:rsidRPr="00133AFD" w:rsidRDefault="002C410C" w:rsidP="002C410C">
            <w:pPr>
              <w:widowControl/>
              <w:numPr>
                <w:ilvl w:val="0"/>
                <w:numId w:val="18"/>
              </w:numPr>
              <w:spacing w:line="360" w:lineRule="auto"/>
              <w:jc w:val="left"/>
              <w:rPr>
                <w:rFonts w:ascii="宋体" w:hAnsi="宋体"/>
                <w:sz w:val="24"/>
              </w:rPr>
            </w:pPr>
            <w:r w:rsidRPr="00133AFD">
              <w:rPr>
                <w:rFonts w:ascii="宋体" w:hAnsi="宋体" w:hint="eastAsia"/>
                <w:sz w:val="24"/>
              </w:rPr>
              <w:t>人工电源网络LISN（数量4）：</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功能要求：</w:t>
            </w:r>
          </w:p>
          <w:p w:rsidR="002C410C" w:rsidRPr="00133AFD" w:rsidRDefault="002C410C" w:rsidP="002C410C">
            <w:pPr>
              <w:widowControl/>
              <w:numPr>
                <w:ilvl w:val="0"/>
                <w:numId w:val="30"/>
              </w:numPr>
              <w:spacing w:line="360" w:lineRule="auto"/>
              <w:jc w:val="left"/>
              <w:rPr>
                <w:rStyle w:val="apple-converted-space"/>
                <w:rFonts w:ascii="宋体" w:hAnsi="宋体"/>
                <w:sz w:val="24"/>
              </w:rPr>
            </w:pPr>
            <w:r w:rsidRPr="00133AFD">
              <w:rPr>
                <w:rStyle w:val="apple-converted-space"/>
                <w:rFonts w:ascii="宋体" w:hAnsi="宋体" w:hint="eastAsia"/>
                <w:sz w:val="24"/>
              </w:rPr>
              <w:t>在频率</w:t>
            </w:r>
            <w:r w:rsidRPr="00133AFD">
              <w:rPr>
                <w:rStyle w:val="apple-converted-space"/>
                <w:rFonts w:ascii="宋体" w:hAnsi="宋体"/>
                <w:sz w:val="24"/>
              </w:rPr>
              <w:t>范围内向被测</w:t>
            </w:r>
            <w:r w:rsidRPr="00133AFD">
              <w:rPr>
                <w:rStyle w:val="apple-converted-space"/>
                <w:rFonts w:ascii="宋体" w:hAnsi="宋体" w:hint="eastAsia"/>
                <w:sz w:val="24"/>
              </w:rPr>
              <w:t>设备</w:t>
            </w:r>
            <w:r w:rsidRPr="00133AFD">
              <w:rPr>
                <w:rStyle w:val="apple-converted-space"/>
                <w:rFonts w:ascii="宋体" w:hAnsi="宋体"/>
                <w:sz w:val="24"/>
              </w:rPr>
              <w:t>提供一个稳定的阻抗，并将被测</w:t>
            </w:r>
            <w:r w:rsidRPr="00133AFD">
              <w:rPr>
                <w:rStyle w:val="apple-converted-space"/>
                <w:rFonts w:ascii="宋体" w:hAnsi="宋体" w:hint="eastAsia"/>
                <w:sz w:val="24"/>
              </w:rPr>
              <w:t>设备</w:t>
            </w:r>
            <w:r w:rsidRPr="00133AFD">
              <w:rPr>
                <w:rStyle w:val="apple-converted-space"/>
                <w:rFonts w:ascii="宋体" w:hAnsi="宋体"/>
                <w:sz w:val="24"/>
              </w:rPr>
              <w:t>与电网上的干扰隔离</w:t>
            </w:r>
            <w:r w:rsidRPr="00133AFD">
              <w:rPr>
                <w:rStyle w:val="apple-converted-space"/>
                <w:rFonts w:ascii="宋体" w:hAnsi="宋体" w:hint="eastAsia"/>
                <w:sz w:val="24"/>
              </w:rPr>
              <w:t>；</w:t>
            </w:r>
          </w:p>
          <w:p w:rsidR="002C410C" w:rsidRPr="00133AFD" w:rsidRDefault="002C410C" w:rsidP="002C410C">
            <w:pPr>
              <w:widowControl/>
              <w:numPr>
                <w:ilvl w:val="0"/>
                <w:numId w:val="30"/>
              </w:numPr>
              <w:spacing w:line="360" w:lineRule="auto"/>
              <w:jc w:val="left"/>
              <w:rPr>
                <w:rFonts w:ascii="宋体" w:hAnsi="宋体"/>
                <w:sz w:val="24"/>
              </w:rPr>
            </w:pPr>
            <w:r w:rsidRPr="00133AFD">
              <w:rPr>
                <w:rFonts w:ascii="宋体" w:hAnsi="宋体" w:hint="eastAsia"/>
                <w:sz w:val="24"/>
              </w:rPr>
              <w:lastRenderedPageBreak/>
              <w:t>电压:</w:t>
            </w:r>
            <w:r w:rsidRPr="00133AFD">
              <w:rPr>
                <w:rFonts w:ascii="宋体" w:hAnsi="宋体"/>
                <w:sz w:val="24"/>
              </w:rPr>
              <w:t>Vmax:</w:t>
            </w:r>
            <w:r w:rsidRPr="00133AFD">
              <w:rPr>
                <w:rFonts w:ascii="宋体" w:hAnsi="宋体" w:hint="eastAsia"/>
                <w:sz w:val="24"/>
              </w:rPr>
              <w:t>40</w:t>
            </w:r>
            <w:r w:rsidRPr="00133AFD">
              <w:rPr>
                <w:rFonts w:ascii="宋体" w:hAnsi="宋体"/>
                <w:sz w:val="24"/>
              </w:rPr>
              <w:t>0Vac/500VDC</w:t>
            </w:r>
            <w:r>
              <w:rPr>
                <w:rFonts w:ascii="宋体" w:hAnsi="宋体" w:hint="eastAsia"/>
                <w:sz w:val="24"/>
              </w:rPr>
              <w:t>；</w:t>
            </w:r>
          </w:p>
          <w:p w:rsidR="002C410C" w:rsidRPr="00133AFD" w:rsidRDefault="002C410C" w:rsidP="002C410C">
            <w:pPr>
              <w:widowControl/>
              <w:numPr>
                <w:ilvl w:val="0"/>
                <w:numId w:val="30"/>
              </w:numPr>
              <w:spacing w:line="360" w:lineRule="auto"/>
              <w:jc w:val="left"/>
              <w:rPr>
                <w:rFonts w:ascii="宋体" w:hAnsi="宋体"/>
                <w:sz w:val="24"/>
              </w:rPr>
            </w:pPr>
            <w:r w:rsidRPr="00133AFD">
              <w:rPr>
                <w:rFonts w:ascii="宋体" w:hAnsi="宋体" w:hint="eastAsia"/>
                <w:sz w:val="24"/>
              </w:rPr>
              <w:t>电流：</w:t>
            </w:r>
            <w:r w:rsidRPr="00133AFD">
              <w:rPr>
                <w:rFonts w:ascii="宋体" w:hAnsi="宋体"/>
                <w:sz w:val="24"/>
              </w:rPr>
              <w:t>Imax:50A</w:t>
            </w:r>
            <w:r>
              <w:rPr>
                <w:rFonts w:ascii="宋体" w:hAnsi="宋体" w:hint="eastAsia"/>
                <w:sz w:val="24"/>
              </w:rPr>
              <w:t>；</w:t>
            </w:r>
          </w:p>
          <w:p w:rsidR="002C410C" w:rsidRPr="00133AFD" w:rsidRDefault="002C410C" w:rsidP="002C410C">
            <w:pPr>
              <w:spacing w:line="360" w:lineRule="auto"/>
              <w:rPr>
                <w:rFonts w:ascii="宋体" w:hAnsi="宋体"/>
                <w:sz w:val="24"/>
              </w:rPr>
            </w:pPr>
            <w:r w:rsidRPr="00133AFD">
              <w:rPr>
                <w:rStyle w:val="apple-converted-space"/>
                <w:rFonts w:ascii="宋体" w:hAnsi="宋体" w:hint="eastAsia"/>
                <w:sz w:val="24"/>
              </w:rPr>
              <w:t>参数指标：</w:t>
            </w:r>
          </w:p>
          <w:p w:rsidR="002C410C" w:rsidRPr="00133AFD" w:rsidRDefault="002C410C" w:rsidP="002C410C">
            <w:pPr>
              <w:widowControl/>
              <w:numPr>
                <w:ilvl w:val="0"/>
                <w:numId w:val="31"/>
              </w:numPr>
              <w:spacing w:line="360" w:lineRule="auto"/>
              <w:jc w:val="left"/>
              <w:rPr>
                <w:rFonts w:ascii="宋体" w:hAnsi="宋体"/>
                <w:sz w:val="24"/>
              </w:rPr>
            </w:pPr>
            <w:r w:rsidRPr="00133AFD">
              <w:rPr>
                <w:rFonts w:ascii="宋体" w:hAnsi="宋体" w:hint="eastAsia"/>
                <w:sz w:val="24"/>
              </w:rPr>
              <w:t>测试范围</w:t>
            </w:r>
            <w:r w:rsidRPr="00133AFD">
              <w:rPr>
                <w:rFonts w:ascii="宋体" w:hAnsi="宋体"/>
                <w:sz w:val="24"/>
              </w:rPr>
              <w:t>:150k-30MHz</w:t>
            </w:r>
            <w:r w:rsidRPr="00133AFD">
              <w:rPr>
                <w:rFonts w:ascii="宋体" w:hAnsi="宋体" w:hint="eastAsia"/>
                <w:sz w:val="24"/>
              </w:rPr>
              <w:t>；</w:t>
            </w:r>
          </w:p>
          <w:p w:rsidR="002C410C" w:rsidRPr="00133AFD" w:rsidRDefault="002C410C" w:rsidP="002C410C">
            <w:pPr>
              <w:widowControl/>
              <w:numPr>
                <w:ilvl w:val="0"/>
                <w:numId w:val="31"/>
              </w:numPr>
              <w:spacing w:line="360" w:lineRule="auto"/>
              <w:jc w:val="left"/>
              <w:rPr>
                <w:rFonts w:ascii="宋体" w:hAnsi="宋体"/>
                <w:sz w:val="24"/>
              </w:rPr>
            </w:pPr>
            <w:r w:rsidRPr="00133AFD">
              <w:rPr>
                <w:rFonts w:ascii="宋体" w:hAnsi="宋体" w:hint="eastAsia"/>
                <w:sz w:val="24"/>
              </w:rPr>
              <w:t>阻抗</w:t>
            </w:r>
            <w:r w:rsidRPr="00133AFD">
              <w:rPr>
                <w:rFonts w:ascii="宋体" w:hAnsi="宋体"/>
                <w:sz w:val="24"/>
              </w:rPr>
              <w:t xml:space="preserve"> 50uH+5</w:t>
            </w:r>
            <w:r w:rsidRPr="00133AFD">
              <w:rPr>
                <w:rFonts w:ascii="宋体" w:hAnsi="宋体" w:hint="eastAsia"/>
                <w:sz w:val="24"/>
              </w:rPr>
              <w:t>Ω‖</w:t>
            </w:r>
            <w:r w:rsidRPr="00133AFD">
              <w:rPr>
                <w:rFonts w:ascii="宋体" w:hAnsi="宋体"/>
                <w:sz w:val="24"/>
              </w:rPr>
              <w:t>50</w:t>
            </w:r>
            <w:r w:rsidRPr="00133AFD">
              <w:rPr>
                <w:rFonts w:ascii="宋体" w:hAnsi="宋体" w:hint="eastAsia"/>
                <w:sz w:val="24"/>
              </w:rPr>
              <w:t>Ω；</w:t>
            </w:r>
          </w:p>
          <w:p w:rsidR="002C410C" w:rsidRPr="00133AFD" w:rsidRDefault="002C410C" w:rsidP="002C410C">
            <w:pPr>
              <w:widowControl/>
              <w:numPr>
                <w:ilvl w:val="0"/>
                <w:numId w:val="31"/>
              </w:numPr>
              <w:spacing w:line="360" w:lineRule="auto"/>
              <w:jc w:val="left"/>
              <w:rPr>
                <w:rFonts w:ascii="宋体" w:hAnsi="宋体"/>
                <w:sz w:val="24"/>
              </w:rPr>
            </w:pPr>
            <w:r w:rsidRPr="00133AFD">
              <w:rPr>
                <w:rFonts w:ascii="宋体" w:hAnsi="宋体" w:hint="eastAsia"/>
                <w:sz w:val="24"/>
              </w:rPr>
              <w:t>测试电压:</w:t>
            </w:r>
            <w:r w:rsidRPr="00133AFD">
              <w:rPr>
                <w:rFonts w:ascii="宋体" w:hAnsi="宋体"/>
                <w:sz w:val="24"/>
              </w:rPr>
              <w:t>Vmax:</w:t>
            </w:r>
            <w:r w:rsidRPr="00133AFD">
              <w:rPr>
                <w:rFonts w:ascii="宋体" w:hAnsi="宋体" w:hint="eastAsia"/>
                <w:sz w:val="24"/>
              </w:rPr>
              <w:t>40</w:t>
            </w:r>
            <w:r w:rsidRPr="00133AFD">
              <w:rPr>
                <w:rFonts w:ascii="宋体" w:hAnsi="宋体"/>
                <w:sz w:val="24"/>
              </w:rPr>
              <w:t>0Vac/500VDC</w:t>
            </w:r>
            <w:r w:rsidRPr="00133AFD">
              <w:rPr>
                <w:rFonts w:ascii="宋体" w:hAnsi="宋体" w:hint="eastAsia"/>
                <w:sz w:val="24"/>
              </w:rPr>
              <w:t>；</w:t>
            </w:r>
          </w:p>
          <w:p w:rsidR="002C410C" w:rsidRPr="00133AFD" w:rsidRDefault="002C410C" w:rsidP="002C410C">
            <w:pPr>
              <w:widowControl/>
              <w:numPr>
                <w:ilvl w:val="0"/>
                <w:numId w:val="31"/>
              </w:numPr>
              <w:spacing w:line="360" w:lineRule="auto"/>
              <w:jc w:val="left"/>
              <w:rPr>
                <w:rFonts w:ascii="宋体" w:hAnsi="宋体"/>
                <w:sz w:val="24"/>
              </w:rPr>
            </w:pPr>
            <w:r w:rsidRPr="00133AFD">
              <w:rPr>
                <w:rFonts w:ascii="宋体" w:hAnsi="宋体" w:hint="eastAsia"/>
                <w:sz w:val="24"/>
              </w:rPr>
              <w:t>测试电流</w:t>
            </w:r>
            <w:r w:rsidRPr="00133AFD">
              <w:rPr>
                <w:rFonts w:ascii="宋体" w:hAnsi="宋体"/>
                <w:sz w:val="24"/>
              </w:rPr>
              <w:t>Imax:50A</w:t>
            </w:r>
            <w:r w:rsidRPr="00133AFD">
              <w:rPr>
                <w:rFonts w:ascii="宋体" w:hAnsi="宋体" w:hint="eastAsia"/>
                <w:sz w:val="24"/>
              </w:rPr>
              <w:t>；</w:t>
            </w:r>
          </w:p>
          <w:p w:rsidR="002C410C" w:rsidRPr="00133AFD" w:rsidRDefault="002C410C" w:rsidP="002C410C">
            <w:pPr>
              <w:spacing w:line="360" w:lineRule="auto"/>
              <w:rPr>
                <w:rStyle w:val="apple-converted-space"/>
                <w:rFonts w:ascii="宋体" w:hAnsi="宋体"/>
                <w:sz w:val="24"/>
              </w:rPr>
            </w:pPr>
            <w:r w:rsidRPr="00133AFD">
              <w:rPr>
                <w:rStyle w:val="apple-converted-space"/>
                <w:rFonts w:ascii="宋体" w:hAnsi="宋体" w:hint="eastAsia"/>
                <w:sz w:val="24"/>
              </w:rPr>
              <w:t>覆盖标准：</w:t>
            </w:r>
          </w:p>
          <w:p w:rsidR="002C410C" w:rsidRPr="00133AFD" w:rsidRDefault="002C410C" w:rsidP="002C410C">
            <w:pPr>
              <w:widowControl/>
              <w:numPr>
                <w:ilvl w:val="0"/>
                <w:numId w:val="32"/>
              </w:numPr>
              <w:spacing w:line="360" w:lineRule="auto"/>
              <w:jc w:val="left"/>
              <w:rPr>
                <w:rFonts w:ascii="宋体" w:hAnsi="宋体"/>
                <w:sz w:val="24"/>
              </w:rPr>
            </w:pPr>
            <w:r w:rsidRPr="00133AFD">
              <w:rPr>
                <w:rFonts w:ascii="宋体" w:hAnsi="宋体" w:hint="eastAsia"/>
                <w:sz w:val="24"/>
              </w:rPr>
              <w:t>以上人工电源网络LISN用于EMC实验室，安装完成后应保证其能满足CISPR11,CISPR22，GB4824,</w:t>
            </w:r>
            <w:r w:rsidRPr="00133AFD">
              <w:rPr>
                <w:rFonts w:ascii="宋体" w:hAnsi="宋体"/>
                <w:sz w:val="24"/>
              </w:rPr>
              <w:t>GB9254</w:t>
            </w:r>
            <w:r w:rsidRPr="00133AFD">
              <w:rPr>
                <w:rFonts w:ascii="宋体" w:hAnsi="宋体" w:hint="eastAsia"/>
                <w:sz w:val="24"/>
              </w:rPr>
              <w:t>的规范要求。</w:t>
            </w:r>
          </w:p>
        </w:tc>
      </w:tr>
    </w:tbl>
    <w:p w:rsidR="00EB3512" w:rsidRPr="00EB3512" w:rsidRDefault="00EB3512" w:rsidP="00EB3512">
      <w:pPr>
        <w:widowControl/>
        <w:spacing w:before="100" w:beforeAutospacing="1" w:after="100" w:afterAutospacing="1" w:line="360" w:lineRule="auto"/>
        <w:jc w:val="left"/>
        <w:outlineLvl w:val="0"/>
        <w:rPr>
          <w:rFonts w:asciiTheme="minorEastAsia" w:hAnsiTheme="minorEastAsia"/>
          <w:sz w:val="24"/>
          <w:szCs w:val="24"/>
        </w:rPr>
      </w:pPr>
    </w:p>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C73D9E">
        <w:rPr>
          <w:rFonts w:ascii="宋体" w:hAnsi="宋体" w:hint="eastAsia"/>
          <w:sz w:val="24"/>
        </w:rPr>
        <w:t>GDJL-18/11-320</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C73D9E">
        <w:rPr>
          <w:rFonts w:asciiTheme="minorEastAsia" w:hAnsiTheme="minorEastAsia" w:hint="eastAsia"/>
          <w:sz w:val="24"/>
        </w:rPr>
        <w:t>广电计量2018年浪涌、脉冲</w:t>
      </w:r>
      <w:proofErr w:type="gramStart"/>
      <w:r w:rsidR="00C73D9E">
        <w:rPr>
          <w:rFonts w:asciiTheme="minorEastAsia" w:hAnsiTheme="minorEastAsia" w:hint="eastAsia"/>
          <w:sz w:val="24"/>
        </w:rPr>
        <w:t>群设备</w:t>
      </w:r>
      <w:proofErr w:type="gramEnd"/>
      <w:r w:rsidR="00C73D9E">
        <w:rPr>
          <w:rFonts w:asciiTheme="minorEastAsia" w:hAnsiTheme="minorEastAsia" w:hint="eastAsia"/>
          <w:sz w:val="24"/>
        </w:rPr>
        <w:t>及民品附件采购项目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C73D9E">
        <w:rPr>
          <w:rFonts w:ascii="宋体" w:hAnsi="宋体" w:hint="eastAsia"/>
          <w:sz w:val="24"/>
        </w:rPr>
        <w:t>GDJL-18/11-320</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E70662">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hint="eastAsia"/>
                <w:szCs w:val="21"/>
              </w:rPr>
              <w:t>一、广州</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E70662">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szCs w:val="21"/>
              </w:rPr>
              <w:t>二、上海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w:t>
            </w:r>
            <w:r w:rsidR="003472EC">
              <w:rPr>
                <w:rFonts w:asciiTheme="minorEastAsia" w:hAnsiTheme="minorEastAsia" w:hint="eastAsia"/>
                <w:b/>
                <w:szCs w:val="21"/>
              </w:rPr>
              <w:t>（</w:t>
            </w:r>
            <w:proofErr w:type="gramStart"/>
            <w:r w:rsidR="003472EC">
              <w:rPr>
                <w:rFonts w:asciiTheme="minorEastAsia" w:hAnsiTheme="minorEastAsia" w:hint="eastAsia"/>
                <w:b/>
                <w:szCs w:val="21"/>
              </w:rPr>
              <w:t>一</w:t>
            </w:r>
            <w:proofErr w:type="gramEnd"/>
            <w:r w:rsidR="003472EC">
              <w:rPr>
                <w:rFonts w:asciiTheme="minorEastAsia" w:hAnsiTheme="minorEastAsia" w:hint="eastAsia"/>
                <w:b/>
                <w:szCs w:val="21"/>
              </w:rPr>
              <w:t>+二）</w:t>
            </w:r>
            <w:r w:rsidRPr="00C6116C">
              <w:rPr>
                <w:rFonts w:asciiTheme="minorEastAsia" w:hAnsiTheme="minorEastAsia" w:hint="eastAsia"/>
                <w:b/>
                <w:szCs w:val="21"/>
              </w:rPr>
              <w:t>：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C73D9E">
        <w:rPr>
          <w:rFonts w:ascii="宋体" w:hAnsi="宋体" w:hint="eastAsia"/>
          <w:bCs/>
          <w:sz w:val="24"/>
        </w:rPr>
        <w:t>GDJL-18/11-320</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4"/>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4E" w:rsidRDefault="004A144E" w:rsidP="001A7A6B">
      <w:r>
        <w:separator/>
      </w:r>
    </w:p>
  </w:endnote>
  <w:endnote w:type="continuationSeparator" w:id="0">
    <w:p w:rsidR="004A144E" w:rsidRDefault="004A144E"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Default="00E706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E70662" w:rsidRDefault="00E70662">
            <w:pPr>
              <w:pStyle w:val="a5"/>
              <w:jc w:val="center"/>
            </w:pPr>
            <w:r>
              <w:rPr>
                <w:lang w:val="zh-CN"/>
              </w:rPr>
              <w:t xml:space="preserve"> </w:t>
            </w:r>
            <w:r w:rsidR="00B162DC">
              <w:rPr>
                <w:b/>
                <w:sz w:val="24"/>
                <w:szCs w:val="24"/>
              </w:rPr>
              <w:fldChar w:fldCharType="begin"/>
            </w:r>
            <w:r>
              <w:rPr>
                <w:b/>
              </w:rPr>
              <w:instrText>PAGE</w:instrText>
            </w:r>
            <w:r w:rsidR="00B162DC">
              <w:rPr>
                <w:b/>
                <w:sz w:val="24"/>
                <w:szCs w:val="24"/>
              </w:rPr>
              <w:fldChar w:fldCharType="separate"/>
            </w:r>
            <w:r w:rsidR="00D43485">
              <w:rPr>
                <w:b/>
                <w:noProof/>
              </w:rPr>
              <w:t>5</w:t>
            </w:r>
            <w:r w:rsidR="00B162DC">
              <w:rPr>
                <w:b/>
                <w:sz w:val="24"/>
                <w:szCs w:val="24"/>
              </w:rPr>
              <w:fldChar w:fldCharType="end"/>
            </w:r>
            <w:r>
              <w:rPr>
                <w:lang w:val="zh-CN"/>
              </w:rPr>
              <w:t xml:space="preserve"> / </w:t>
            </w:r>
            <w:r w:rsidR="00B162DC">
              <w:rPr>
                <w:b/>
                <w:sz w:val="24"/>
                <w:szCs w:val="24"/>
              </w:rPr>
              <w:fldChar w:fldCharType="begin"/>
            </w:r>
            <w:r>
              <w:rPr>
                <w:b/>
              </w:rPr>
              <w:instrText>NUMPAGES</w:instrText>
            </w:r>
            <w:r w:rsidR="00B162DC">
              <w:rPr>
                <w:b/>
                <w:sz w:val="24"/>
                <w:szCs w:val="24"/>
              </w:rPr>
              <w:fldChar w:fldCharType="separate"/>
            </w:r>
            <w:r w:rsidR="00D43485">
              <w:rPr>
                <w:b/>
                <w:noProof/>
              </w:rPr>
              <w:t>50</w:t>
            </w:r>
            <w:r w:rsidR="00B162DC">
              <w:rPr>
                <w:b/>
                <w:sz w:val="24"/>
                <w:szCs w:val="24"/>
              </w:rPr>
              <w:fldChar w:fldCharType="end"/>
            </w:r>
          </w:p>
        </w:sdtContent>
      </w:sdt>
    </w:sdtContent>
  </w:sdt>
  <w:p w:rsidR="00E70662" w:rsidRDefault="00E706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4E" w:rsidRDefault="004A144E" w:rsidP="001A7A6B">
      <w:r>
        <w:separator/>
      </w:r>
    </w:p>
  </w:footnote>
  <w:footnote w:type="continuationSeparator" w:id="0">
    <w:p w:rsidR="004A144E" w:rsidRDefault="004A144E"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Default="00E70662"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Default="00E70662"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Pr="00054CF2" w:rsidRDefault="00E70662"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C73D9E">
      <w:rPr>
        <w:rFonts w:ascii="宋体" w:hAnsi="宋体" w:cs="宋体" w:hint="eastAsia"/>
        <w:kern w:val="0"/>
        <w:sz w:val="21"/>
        <w:szCs w:val="21"/>
        <w:u w:val="single"/>
      </w:rPr>
      <w:t>广电计量2018年浪涌、脉冲</w:t>
    </w:r>
    <w:proofErr w:type="gramStart"/>
    <w:r w:rsidR="00C73D9E">
      <w:rPr>
        <w:rFonts w:ascii="宋体" w:hAnsi="宋体" w:cs="宋体" w:hint="eastAsia"/>
        <w:kern w:val="0"/>
        <w:sz w:val="21"/>
        <w:szCs w:val="21"/>
        <w:u w:val="single"/>
      </w:rPr>
      <w:t>群设备</w:t>
    </w:r>
    <w:proofErr w:type="gramEnd"/>
    <w:r w:rsidR="00C73D9E">
      <w:rPr>
        <w:rFonts w:ascii="宋体" w:hAnsi="宋体" w:cs="宋体" w:hint="eastAsia"/>
        <w:kern w:val="0"/>
        <w:sz w:val="21"/>
        <w:szCs w:val="21"/>
        <w:u w:val="single"/>
      </w:rPr>
      <w:t>及民品附件采购项目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9D1460"/>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913CD9"/>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C4F5B"/>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DF0E6B"/>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217CC7"/>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293D45"/>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A510D7"/>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7EC15FE"/>
    <w:multiLevelType w:val="hybridMultilevel"/>
    <w:tmpl w:val="E59062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4803672B"/>
    <w:multiLevelType w:val="hybridMultilevel"/>
    <w:tmpl w:val="AC9EC55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7459FD"/>
    <w:multiLevelType w:val="hybridMultilevel"/>
    <w:tmpl w:val="994A3C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66228C"/>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4C46E7"/>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2D1F6F"/>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841C1F"/>
    <w:multiLevelType w:val="hybridMultilevel"/>
    <w:tmpl w:val="9ED28C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840647"/>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3B5AE7"/>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B794B29"/>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36154E"/>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nsid w:val="7C4C3FDF"/>
    <w:multiLevelType w:val="hybridMultilevel"/>
    <w:tmpl w:val="1BB447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32"/>
  </w:num>
  <w:num w:numId="3">
    <w:abstractNumId w:val="30"/>
  </w:num>
  <w:num w:numId="4">
    <w:abstractNumId w:val="10"/>
  </w:num>
  <w:num w:numId="5">
    <w:abstractNumId w:val="6"/>
  </w:num>
  <w:num w:numId="6">
    <w:abstractNumId w:val="4"/>
  </w:num>
  <w:num w:numId="7">
    <w:abstractNumId w:val="20"/>
  </w:num>
  <w:num w:numId="8">
    <w:abstractNumId w:val="16"/>
  </w:num>
  <w:num w:numId="9">
    <w:abstractNumId w:val="15"/>
  </w:num>
  <w:num w:numId="10">
    <w:abstractNumId w:val="19"/>
  </w:num>
  <w:num w:numId="11">
    <w:abstractNumId w:val="24"/>
  </w:num>
  <w:num w:numId="12">
    <w:abstractNumId w:val="11"/>
  </w:num>
  <w:num w:numId="13">
    <w:abstractNumId w:val="34"/>
  </w:num>
  <w:num w:numId="14">
    <w:abstractNumId w:val="23"/>
  </w:num>
  <w:num w:numId="15">
    <w:abstractNumId w:val="0"/>
  </w:num>
  <w:num w:numId="16">
    <w:abstractNumId w:val="18"/>
  </w:num>
  <w:num w:numId="17">
    <w:abstractNumId w:val="13"/>
  </w:num>
  <w:num w:numId="18">
    <w:abstractNumId w:val="17"/>
  </w:num>
  <w:num w:numId="19">
    <w:abstractNumId w:val="27"/>
  </w:num>
  <w:num w:numId="20">
    <w:abstractNumId w:val="31"/>
  </w:num>
  <w:num w:numId="21">
    <w:abstractNumId w:val="29"/>
  </w:num>
  <w:num w:numId="22">
    <w:abstractNumId w:val="5"/>
  </w:num>
  <w:num w:numId="23">
    <w:abstractNumId w:val="33"/>
  </w:num>
  <w:num w:numId="24">
    <w:abstractNumId w:val="3"/>
  </w:num>
  <w:num w:numId="25">
    <w:abstractNumId w:val="26"/>
  </w:num>
  <w:num w:numId="26">
    <w:abstractNumId w:val="7"/>
  </w:num>
  <w:num w:numId="27">
    <w:abstractNumId w:val="22"/>
  </w:num>
  <w:num w:numId="28">
    <w:abstractNumId w:val="28"/>
  </w:num>
  <w:num w:numId="29">
    <w:abstractNumId w:val="2"/>
  </w:num>
  <w:num w:numId="30">
    <w:abstractNumId w:val="9"/>
  </w:num>
  <w:num w:numId="31">
    <w:abstractNumId w:val="25"/>
  </w:num>
  <w:num w:numId="32">
    <w:abstractNumId w:val="1"/>
  </w:num>
  <w:num w:numId="33">
    <w:abstractNumId w:val="8"/>
  </w:num>
  <w:num w:numId="34">
    <w:abstractNumId w:val="21"/>
  </w:num>
  <w:num w:numId="35">
    <w:abstractNumId w:val="35"/>
  </w:num>
  <w:num w:numId="36">
    <w:abstractNumId w:val="1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32500"/>
    <w:rsid w:val="00090D65"/>
    <w:rsid w:val="000D683A"/>
    <w:rsid w:val="000F3E21"/>
    <w:rsid w:val="001560A0"/>
    <w:rsid w:val="001961F0"/>
    <w:rsid w:val="001A7A6B"/>
    <w:rsid w:val="001E0B24"/>
    <w:rsid w:val="001F681D"/>
    <w:rsid w:val="002156A7"/>
    <w:rsid w:val="002345D3"/>
    <w:rsid w:val="002456F9"/>
    <w:rsid w:val="00247F09"/>
    <w:rsid w:val="002510D6"/>
    <w:rsid w:val="002A56CD"/>
    <w:rsid w:val="002C410C"/>
    <w:rsid w:val="003472EC"/>
    <w:rsid w:val="003B10FD"/>
    <w:rsid w:val="004055F4"/>
    <w:rsid w:val="00415A57"/>
    <w:rsid w:val="004231F7"/>
    <w:rsid w:val="004A144E"/>
    <w:rsid w:val="004C1D44"/>
    <w:rsid w:val="004C4BC4"/>
    <w:rsid w:val="005E6C1F"/>
    <w:rsid w:val="00656B8C"/>
    <w:rsid w:val="006A60BC"/>
    <w:rsid w:val="007460F1"/>
    <w:rsid w:val="00746F46"/>
    <w:rsid w:val="007B533E"/>
    <w:rsid w:val="0083557F"/>
    <w:rsid w:val="00897C4C"/>
    <w:rsid w:val="0090330F"/>
    <w:rsid w:val="0096446B"/>
    <w:rsid w:val="00A06693"/>
    <w:rsid w:val="00A819D9"/>
    <w:rsid w:val="00A845C1"/>
    <w:rsid w:val="00AC43E0"/>
    <w:rsid w:val="00B162DC"/>
    <w:rsid w:val="00B164F4"/>
    <w:rsid w:val="00B44ADA"/>
    <w:rsid w:val="00C05953"/>
    <w:rsid w:val="00C63586"/>
    <w:rsid w:val="00C73D9E"/>
    <w:rsid w:val="00C822BD"/>
    <w:rsid w:val="00D11BA7"/>
    <w:rsid w:val="00D43485"/>
    <w:rsid w:val="00D51329"/>
    <w:rsid w:val="00D8120E"/>
    <w:rsid w:val="00DE19A1"/>
    <w:rsid w:val="00E70662"/>
    <w:rsid w:val="00E744EB"/>
    <w:rsid w:val="00EB3512"/>
    <w:rsid w:val="00F0455E"/>
    <w:rsid w:val="00FB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idu.com/link?url=54xZoK1MoaocZvQ0Ug9GchYuhZ7PAUurcSF0RLVnMYTWCKhjWan-C0u6Z4q7Wy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54xZoK1MoaocZvQ0Ug9GchYuhZ7PAUurcSF0RLVnMYTWCKhjWan-C0u6Z4q7WysP"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6978C-1C81-42AE-9B38-1169C5C2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50</Pages>
  <Words>4629</Words>
  <Characters>26389</Characters>
  <Application>Microsoft Office Word</Application>
  <DocSecurity>0</DocSecurity>
  <Lines>219</Lines>
  <Paragraphs>61</Paragraphs>
  <ScaleCrop>false</ScaleCrop>
  <Company/>
  <LinksUpToDate>false</LinksUpToDate>
  <CharactersWithSpaces>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2018-11-07T05:56:00Z</dcterms:created>
  <dcterms:modified xsi:type="dcterms:W3CDTF">2018-12-06T03:40:00Z</dcterms:modified>
</cp:coreProperties>
</file>