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666A6F" w:rsidP="004E6772">
      <w:pPr>
        <w:spacing w:line="360" w:lineRule="auto"/>
        <w:jc w:val="center"/>
        <w:rPr>
          <w:b/>
          <w:bCs/>
          <w:sz w:val="44"/>
        </w:rPr>
      </w:pPr>
      <w:r>
        <w:rPr>
          <w:rFonts w:ascii="宋体" w:hAnsi="宋体" w:cs="宋体" w:hint="eastAsia"/>
          <w:b/>
          <w:kern w:val="0"/>
          <w:sz w:val="44"/>
          <w:szCs w:val="44"/>
        </w:rPr>
        <w:t>广电计量2018年光度计量检定系统采购项目</w:t>
      </w:r>
    </w:p>
    <w:p w:rsidR="004E6772" w:rsidRPr="003C3D4E" w:rsidRDefault="004E6772" w:rsidP="004E6772">
      <w:pPr>
        <w:spacing w:line="360" w:lineRule="auto"/>
        <w:jc w:val="center"/>
        <w:rPr>
          <w:b/>
          <w:bCs/>
          <w:sz w:val="44"/>
        </w:rPr>
      </w:pPr>
    </w:p>
    <w:p w:rsidR="004E6772" w:rsidRPr="007127EA"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666A6F">
        <w:rPr>
          <w:rFonts w:ascii="仿宋_GB2312" w:eastAsia="仿宋_GB2312" w:hint="eastAsia"/>
          <w:b/>
          <w:color w:val="000000" w:themeColor="text1"/>
          <w:sz w:val="36"/>
          <w:szCs w:val="36"/>
        </w:rPr>
        <w:t>GDJL-18/10-288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49340B">
      <w:pPr>
        <w:pStyle w:val="10"/>
        <w:tabs>
          <w:tab w:val="right" w:leader="dot" w:pos="9402"/>
        </w:tabs>
        <w:rPr>
          <w:rFonts w:eastAsiaTheme="minorEastAsia" w:cstheme="minorBidi"/>
          <w:b w:val="0"/>
          <w:bCs w:val="0"/>
          <w:caps w:val="0"/>
          <w:noProof/>
          <w:sz w:val="21"/>
          <w:szCs w:val="22"/>
        </w:rPr>
      </w:pPr>
      <w:r w:rsidRPr="0049340B">
        <w:rPr>
          <w:sz w:val="21"/>
          <w:szCs w:val="21"/>
        </w:rPr>
        <w:fldChar w:fldCharType="begin"/>
      </w:r>
      <w:r w:rsidR="00E34B45" w:rsidRPr="00C6116C">
        <w:rPr>
          <w:sz w:val="21"/>
          <w:szCs w:val="21"/>
        </w:rPr>
        <w:instrText xml:space="preserve"> TOC \o "1-3" \h \z \u </w:instrText>
      </w:r>
      <w:r w:rsidRPr="0049340B">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9340B">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9340B">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9340B"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666A6F">
        <w:rPr>
          <w:rFonts w:asciiTheme="minorEastAsia" w:hAnsiTheme="minorEastAsia" w:hint="eastAsia"/>
          <w:sz w:val="24"/>
        </w:rPr>
        <w:t>广电计量2018年光度计量检定系统采购项目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262687">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666A6F">
        <w:rPr>
          <w:rFonts w:asciiTheme="minorEastAsia" w:eastAsiaTheme="minorEastAsia" w:hAnsiTheme="minorEastAsia" w:hint="eastAsia"/>
          <w:bCs/>
          <w:sz w:val="24"/>
        </w:rPr>
        <w:t>GDJL-18/10-288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666A6F">
        <w:rPr>
          <w:rFonts w:asciiTheme="minorEastAsia" w:hAnsiTheme="minorEastAsia" w:hint="eastAsia"/>
          <w:sz w:val="24"/>
        </w:rPr>
        <w:t>广电计量2018年光度计量检定系统采购项目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vMerge w:val="restart"/>
            <w:shd w:val="clear" w:color="auto" w:fill="FFFFFF"/>
            <w:vAlign w:val="center"/>
            <w:hideMark/>
          </w:tcPr>
          <w:p w:rsidR="00666A6F" w:rsidRPr="007127EA" w:rsidRDefault="00666A6F" w:rsidP="007127EA">
            <w:pPr>
              <w:jc w:val="center"/>
              <w:rPr>
                <w:rFonts w:asciiTheme="minorEastAsia" w:eastAsiaTheme="minorEastAsia" w:hAnsiTheme="minorEastAsia"/>
                <w:sz w:val="24"/>
              </w:rPr>
            </w:pPr>
            <w:r w:rsidRPr="00666A6F">
              <w:rPr>
                <w:rFonts w:asciiTheme="minorEastAsia" w:eastAsiaTheme="minorEastAsia" w:hAnsiTheme="minorEastAsia" w:hint="eastAsia"/>
                <w:sz w:val="24"/>
              </w:rPr>
              <w:t>光度计量检定系统</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r w:rsidR="00666A6F" w:rsidRPr="007127EA" w:rsidTr="007127EA">
        <w:trPr>
          <w:trHeight w:val="70"/>
          <w:tblCellSpacing w:w="20" w:type="dxa"/>
        </w:trPr>
        <w:tc>
          <w:tcPr>
            <w:tcW w:w="2653" w:type="dxa"/>
            <w:vMerge/>
            <w:shd w:val="clear" w:color="auto" w:fill="FFFFFF"/>
            <w:vAlign w:val="center"/>
            <w:hideMark/>
          </w:tcPr>
          <w:p w:rsidR="00666A6F" w:rsidRPr="00666A6F" w:rsidRDefault="00666A6F" w:rsidP="007127EA">
            <w:pPr>
              <w:jc w:val="center"/>
              <w:rPr>
                <w:rFonts w:asciiTheme="minorEastAsia" w:eastAsiaTheme="minorEastAsia" w:hAnsiTheme="minorEastAsia"/>
                <w:sz w:val="24"/>
              </w:rPr>
            </w:pP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7127EA">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7127EA">
        <w:rPr>
          <w:rFonts w:asciiTheme="minorEastAsia" w:eastAsiaTheme="minorEastAsia" w:hAnsiTheme="minorEastAsia" w:hint="eastAsia"/>
          <w:sz w:val="24"/>
        </w:rPr>
        <w:t>29</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7127EA">
        <w:rPr>
          <w:rFonts w:asciiTheme="minorEastAsia" w:eastAsiaTheme="minorEastAsia" w:hAnsiTheme="minorEastAsia" w:hint="eastAsia"/>
          <w:sz w:val="24"/>
        </w:rPr>
        <w:t>29</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7127EA">
        <w:rPr>
          <w:rFonts w:asciiTheme="minorEastAsia" w:eastAsiaTheme="minorEastAsia" w:hAnsiTheme="minorEastAsia" w:hint="eastAsia"/>
          <w:sz w:val="24"/>
          <w:shd w:val="clear" w:color="auto" w:fill="FFFF00"/>
        </w:rPr>
        <w:t>15</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262687">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666A6F"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广电计量2018年光度计量检定系统采购项目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666A6F">
              <w:rPr>
                <w:rFonts w:asciiTheme="minorEastAsia" w:eastAsiaTheme="minorEastAsia" w:hAnsiTheme="minorEastAsia"/>
                <w:szCs w:val="21"/>
              </w:rPr>
              <w:t>GDJL-18/10-288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666A6F">
              <w:rPr>
                <w:rFonts w:asciiTheme="minorEastAsia" w:eastAsiaTheme="minorEastAsia" w:hAnsiTheme="minorEastAsia"/>
                <w:szCs w:val="21"/>
              </w:rPr>
              <w:t>GDJL-18/10-288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127EA">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127EA">
              <w:rPr>
                <w:rFonts w:asciiTheme="minorEastAsia" w:eastAsiaTheme="minorEastAsia" w:hAnsiTheme="minorEastAsia" w:hint="eastAsia"/>
                <w:szCs w:val="21"/>
                <w:u w:val="single"/>
              </w:rPr>
              <w:t>29</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127EA">
              <w:rPr>
                <w:rFonts w:asciiTheme="minorEastAsia" w:eastAsiaTheme="minorEastAsia" w:hAnsiTheme="minorEastAsia" w:hint="eastAsia"/>
                <w:szCs w:val="21"/>
                <w:u w:val="single"/>
              </w:rPr>
              <w:t>29</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666A6F" w:rsidRPr="007127EA" w:rsidTr="00053FE0">
        <w:trPr>
          <w:trHeight w:val="478"/>
          <w:tblCellSpacing w:w="20" w:type="dxa"/>
        </w:trPr>
        <w:tc>
          <w:tcPr>
            <w:tcW w:w="2653" w:type="dxa"/>
            <w:shd w:val="clear" w:color="auto" w:fill="FFFFFF"/>
            <w:vAlign w:val="center"/>
            <w:hideMark/>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053FE0">
        <w:trPr>
          <w:trHeight w:val="70"/>
          <w:tblCellSpacing w:w="20" w:type="dxa"/>
        </w:trPr>
        <w:tc>
          <w:tcPr>
            <w:tcW w:w="2653" w:type="dxa"/>
            <w:vMerge w:val="restart"/>
            <w:shd w:val="clear" w:color="auto" w:fill="FFFFFF"/>
            <w:vAlign w:val="center"/>
            <w:hideMark/>
          </w:tcPr>
          <w:p w:rsidR="00666A6F" w:rsidRPr="007127EA" w:rsidRDefault="00666A6F" w:rsidP="00053FE0">
            <w:pPr>
              <w:jc w:val="center"/>
              <w:rPr>
                <w:rFonts w:asciiTheme="minorEastAsia" w:eastAsiaTheme="minorEastAsia" w:hAnsiTheme="minorEastAsia"/>
                <w:sz w:val="24"/>
              </w:rPr>
            </w:pPr>
            <w:r w:rsidRPr="00666A6F">
              <w:rPr>
                <w:rFonts w:asciiTheme="minorEastAsia" w:eastAsiaTheme="minorEastAsia" w:hAnsiTheme="minorEastAsia" w:hint="eastAsia"/>
                <w:sz w:val="24"/>
              </w:rPr>
              <w:t>光度计量检定系统</w:t>
            </w: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p>
        </w:tc>
      </w:tr>
      <w:tr w:rsidR="00666A6F" w:rsidRPr="007127EA" w:rsidTr="00053FE0">
        <w:trPr>
          <w:trHeight w:val="70"/>
          <w:tblCellSpacing w:w="20" w:type="dxa"/>
        </w:trPr>
        <w:tc>
          <w:tcPr>
            <w:tcW w:w="2653" w:type="dxa"/>
            <w:vMerge/>
            <w:shd w:val="clear" w:color="auto" w:fill="FFFFFF"/>
            <w:vAlign w:val="center"/>
            <w:hideMark/>
          </w:tcPr>
          <w:p w:rsidR="00666A6F" w:rsidRPr="00666A6F" w:rsidRDefault="00666A6F" w:rsidP="00053FE0">
            <w:pPr>
              <w:jc w:val="center"/>
              <w:rPr>
                <w:rFonts w:asciiTheme="minorEastAsia" w:eastAsiaTheme="minorEastAsia" w:hAnsiTheme="minorEastAsia"/>
                <w:sz w:val="24"/>
              </w:rPr>
            </w:pP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053FE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666A6F" w:rsidRPr="00C6116C" w:rsidTr="00A96BBB">
        <w:trPr>
          <w:trHeight w:val="1249"/>
        </w:trPr>
        <w:tc>
          <w:tcPr>
            <w:tcW w:w="1384" w:type="dxa"/>
            <w:vAlign w:val="center"/>
          </w:tcPr>
          <w:p w:rsidR="00666A6F" w:rsidRPr="00C6116C" w:rsidRDefault="00666A6F" w:rsidP="00B86ED3">
            <w:pPr>
              <w:spacing w:line="400" w:lineRule="exact"/>
              <w:jc w:val="center"/>
              <w:rPr>
                <w:sz w:val="24"/>
              </w:rPr>
            </w:pPr>
            <w:r w:rsidRPr="00C6116C">
              <w:rPr>
                <w:sz w:val="24"/>
              </w:rPr>
              <w:t>项目要求</w:t>
            </w:r>
          </w:p>
          <w:p w:rsidR="00666A6F" w:rsidRPr="00C6116C" w:rsidRDefault="00666A6F" w:rsidP="00B86ED3">
            <w:pPr>
              <w:spacing w:line="400" w:lineRule="exact"/>
              <w:jc w:val="center"/>
              <w:rPr>
                <w:sz w:val="24"/>
              </w:rPr>
            </w:pPr>
            <w:r w:rsidRPr="00C6116C">
              <w:rPr>
                <w:sz w:val="24"/>
              </w:rPr>
              <w:t>技术指标</w:t>
            </w:r>
          </w:p>
        </w:tc>
        <w:tc>
          <w:tcPr>
            <w:tcW w:w="7872" w:type="dxa"/>
          </w:tcPr>
          <w:p w:rsidR="0028266C" w:rsidRPr="00053FE0" w:rsidRDefault="00053FE0" w:rsidP="00053FE0">
            <w:pPr>
              <w:tabs>
                <w:tab w:val="left" w:pos="792"/>
              </w:tabs>
              <w:spacing w:line="360" w:lineRule="auto"/>
              <w:rPr>
                <w:b/>
                <w:sz w:val="24"/>
              </w:rPr>
            </w:pPr>
            <w:r>
              <w:rPr>
                <w:rFonts w:hint="eastAsia"/>
                <w:b/>
                <w:sz w:val="24"/>
              </w:rPr>
              <w:t>1</w:t>
            </w:r>
            <w:r>
              <w:rPr>
                <w:rFonts w:hint="eastAsia"/>
                <w:b/>
                <w:sz w:val="24"/>
              </w:rPr>
              <w:t>、</w:t>
            </w:r>
            <w:r w:rsidR="0028266C" w:rsidRPr="00053FE0">
              <w:rPr>
                <w:rFonts w:hint="eastAsia"/>
                <w:b/>
                <w:sz w:val="24"/>
              </w:rPr>
              <w:t>成都</w:t>
            </w:r>
            <w:r w:rsidR="0042208A" w:rsidRPr="0042208A">
              <w:rPr>
                <w:rFonts w:hint="eastAsia"/>
                <w:b/>
                <w:sz w:val="24"/>
              </w:rPr>
              <w:t>实验室</w:t>
            </w:r>
            <w:r w:rsidRPr="00053FE0">
              <w:rPr>
                <w:rFonts w:hint="eastAsia"/>
                <w:b/>
                <w:sz w:val="24"/>
              </w:rPr>
              <w:t>：</w:t>
            </w:r>
          </w:p>
          <w:p w:rsidR="00666A6F" w:rsidRDefault="00666A6F" w:rsidP="00053FE0">
            <w:pPr>
              <w:tabs>
                <w:tab w:val="left" w:pos="792"/>
              </w:tabs>
              <w:spacing w:line="360" w:lineRule="auto"/>
              <w:rPr>
                <w:sz w:val="24"/>
              </w:rPr>
            </w:pPr>
            <w:r>
              <w:rPr>
                <w:rFonts w:hint="eastAsia"/>
                <w:sz w:val="24"/>
              </w:rPr>
              <w:t>一、外观要求</w:t>
            </w:r>
          </w:p>
          <w:p w:rsidR="00666A6F" w:rsidRDefault="00666A6F" w:rsidP="00053FE0">
            <w:pPr>
              <w:tabs>
                <w:tab w:val="left" w:pos="792"/>
              </w:tabs>
              <w:spacing w:line="360" w:lineRule="auto"/>
              <w:rPr>
                <w:sz w:val="24"/>
              </w:rPr>
            </w:pPr>
            <w:r>
              <w:rPr>
                <w:rFonts w:hint="eastAsia"/>
                <w:sz w:val="24"/>
              </w:rPr>
              <w:t>完好，无影响正常工作的缺陷</w:t>
            </w:r>
          </w:p>
          <w:p w:rsidR="00666A6F" w:rsidRDefault="00666A6F" w:rsidP="00053FE0">
            <w:pPr>
              <w:tabs>
                <w:tab w:val="left" w:pos="792"/>
              </w:tabs>
              <w:spacing w:line="360" w:lineRule="auto"/>
              <w:rPr>
                <w:sz w:val="24"/>
              </w:rPr>
            </w:pPr>
            <w:r>
              <w:rPr>
                <w:rFonts w:hint="eastAsia"/>
                <w:sz w:val="24"/>
              </w:rPr>
              <w:t>二、功能指标要求</w:t>
            </w:r>
          </w:p>
          <w:p w:rsidR="00666A6F" w:rsidRPr="0057322B" w:rsidRDefault="00666A6F" w:rsidP="00053FE0">
            <w:pPr>
              <w:tabs>
                <w:tab w:val="left" w:pos="792"/>
              </w:tabs>
              <w:spacing w:line="360" w:lineRule="auto"/>
              <w:jc w:val="left"/>
              <w:rPr>
                <w:sz w:val="24"/>
              </w:rPr>
            </w:pPr>
            <w:r>
              <w:rPr>
                <w:rFonts w:hint="eastAsia"/>
                <w:sz w:val="24"/>
              </w:rPr>
              <w:t>符合《</w:t>
            </w:r>
            <w:r>
              <w:rPr>
                <w:rFonts w:hint="eastAsia"/>
                <w:sz w:val="24"/>
              </w:rPr>
              <w:t xml:space="preserve">JJG 245-2005 </w:t>
            </w:r>
            <w:r>
              <w:rPr>
                <w:rFonts w:hint="eastAsia"/>
                <w:sz w:val="24"/>
              </w:rPr>
              <w:t>光照度计检定规程》、《</w:t>
            </w:r>
            <w:r>
              <w:rPr>
                <w:rFonts w:hint="eastAsia"/>
                <w:sz w:val="24"/>
              </w:rPr>
              <w:t xml:space="preserve">JJG 211-2005 </w:t>
            </w:r>
            <w:r>
              <w:rPr>
                <w:rFonts w:hint="eastAsia"/>
                <w:sz w:val="24"/>
              </w:rPr>
              <w:t>亮度计检定规程》的要求，可</w:t>
            </w:r>
            <w:r w:rsidRPr="0057322B">
              <w:rPr>
                <w:rFonts w:hint="eastAsia"/>
                <w:sz w:val="24"/>
              </w:rPr>
              <w:t>用于</w:t>
            </w:r>
            <w:r>
              <w:rPr>
                <w:rFonts w:hint="eastAsia"/>
                <w:sz w:val="24"/>
              </w:rPr>
              <w:t>照度计、亮度计的计量</w:t>
            </w:r>
          </w:p>
          <w:p w:rsidR="00666A6F" w:rsidRDefault="00666A6F" w:rsidP="00053FE0">
            <w:pPr>
              <w:tabs>
                <w:tab w:val="left" w:pos="792"/>
              </w:tabs>
              <w:spacing w:line="360" w:lineRule="auto"/>
              <w:rPr>
                <w:sz w:val="24"/>
              </w:rPr>
            </w:pPr>
            <w:r>
              <w:rPr>
                <w:rFonts w:hint="eastAsia"/>
                <w:sz w:val="24"/>
              </w:rPr>
              <w:t>三、性能指标要求</w:t>
            </w:r>
          </w:p>
          <w:p w:rsidR="00666A6F" w:rsidRPr="00B26810" w:rsidRDefault="00666A6F" w:rsidP="00053FE0">
            <w:pPr>
              <w:tabs>
                <w:tab w:val="left" w:pos="792"/>
              </w:tabs>
              <w:spacing w:line="360" w:lineRule="auto"/>
              <w:rPr>
                <w:sz w:val="24"/>
              </w:rPr>
            </w:pPr>
            <w:r>
              <w:rPr>
                <w:rFonts w:hint="eastAsia"/>
                <w:sz w:val="24"/>
              </w:rPr>
              <w:t>1</w:t>
            </w:r>
            <w:r>
              <w:rPr>
                <w:rFonts w:hint="eastAsia"/>
                <w:sz w:val="24"/>
              </w:rPr>
              <w:t>、光轨：长度</w:t>
            </w:r>
            <w:r>
              <w:rPr>
                <w:rFonts w:hint="eastAsia"/>
                <w:sz w:val="24"/>
              </w:rPr>
              <w:t>7m</w:t>
            </w:r>
            <w:r>
              <w:rPr>
                <w:rFonts w:hint="eastAsia"/>
                <w:sz w:val="24"/>
              </w:rPr>
              <w:t>，平直性误差不超过±</w:t>
            </w:r>
            <w:r>
              <w:rPr>
                <w:rFonts w:hint="eastAsia"/>
                <w:sz w:val="24"/>
              </w:rPr>
              <w:t>1mm</w:t>
            </w:r>
            <w:r>
              <w:rPr>
                <w:rFonts w:hint="eastAsia"/>
                <w:sz w:val="24"/>
              </w:rPr>
              <w:t>，测距米尺</w:t>
            </w:r>
            <w:r>
              <w:rPr>
                <w:rFonts w:hint="eastAsia"/>
                <w:sz w:val="24"/>
              </w:rPr>
              <w:t>1m</w:t>
            </w:r>
            <w:r>
              <w:rPr>
                <w:rFonts w:hint="eastAsia"/>
                <w:sz w:val="24"/>
              </w:rPr>
              <w:t>内的总误差不大于</w:t>
            </w:r>
            <w:r>
              <w:rPr>
                <w:rFonts w:hint="eastAsia"/>
                <w:sz w:val="24"/>
              </w:rPr>
              <w:t>0.2mm</w:t>
            </w:r>
          </w:p>
          <w:p w:rsidR="00666A6F" w:rsidRDefault="00666A6F" w:rsidP="00053FE0">
            <w:pPr>
              <w:tabs>
                <w:tab w:val="left" w:pos="792"/>
              </w:tabs>
              <w:spacing w:line="360" w:lineRule="auto"/>
              <w:rPr>
                <w:sz w:val="24"/>
              </w:rPr>
            </w:pPr>
            <w:r>
              <w:rPr>
                <w:rFonts w:hint="eastAsia"/>
                <w:sz w:val="24"/>
              </w:rPr>
              <w:t>2</w:t>
            </w:r>
            <w:r>
              <w:rPr>
                <w:rFonts w:hint="eastAsia"/>
                <w:sz w:val="24"/>
              </w:rPr>
              <w:t>、</w:t>
            </w:r>
            <w:r w:rsidRPr="00CE1DCF">
              <w:rPr>
                <w:rFonts w:hint="eastAsia"/>
                <w:sz w:val="24"/>
              </w:rPr>
              <w:t>发光强度标准灯</w:t>
            </w:r>
            <w:r>
              <w:rPr>
                <w:rFonts w:hint="eastAsia"/>
                <w:sz w:val="24"/>
              </w:rPr>
              <w:t>：发光强度标称值约</w:t>
            </w:r>
            <w:r>
              <w:rPr>
                <w:rFonts w:hint="eastAsia"/>
                <w:sz w:val="24"/>
              </w:rPr>
              <w:t>90cd</w:t>
            </w:r>
            <w:r>
              <w:rPr>
                <w:rFonts w:hint="eastAsia"/>
                <w:sz w:val="24"/>
              </w:rPr>
              <w:t>、</w:t>
            </w:r>
            <w:r>
              <w:rPr>
                <w:rFonts w:hint="eastAsia"/>
                <w:sz w:val="24"/>
              </w:rPr>
              <w:t>450cd</w:t>
            </w:r>
            <w:r>
              <w:rPr>
                <w:rFonts w:hint="eastAsia"/>
                <w:sz w:val="24"/>
              </w:rPr>
              <w:t>、</w:t>
            </w:r>
            <w:r>
              <w:rPr>
                <w:rFonts w:hint="eastAsia"/>
                <w:sz w:val="24"/>
              </w:rPr>
              <w:t>1100cd</w:t>
            </w:r>
            <w:r>
              <w:rPr>
                <w:rFonts w:hint="eastAsia"/>
                <w:sz w:val="24"/>
              </w:rPr>
              <w:t>（各</w:t>
            </w:r>
            <w:r>
              <w:rPr>
                <w:rFonts w:hint="eastAsia"/>
                <w:sz w:val="24"/>
              </w:rPr>
              <w:t>3</w:t>
            </w:r>
            <w:r>
              <w:rPr>
                <w:rFonts w:hint="eastAsia"/>
                <w:sz w:val="24"/>
              </w:rPr>
              <w:t>只），色温为</w:t>
            </w:r>
            <w:r>
              <w:rPr>
                <w:rFonts w:hint="eastAsia"/>
                <w:sz w:val="24"/>
              </w:rPr>
              <w:t>2856K</w:t>
            </w:r>
            <w:r>
              <w:rPr>
                <w:rFonts w:hint="eastAsia"/>
                <w:sz w:val="24"/>
              </w:rPr>
              <w:t>，扩展不确定度优于</w:t>
            </w:r>
            <w:r>
              <w:rPr>
                <w:rFonts w:hint="eastAsia"/>
                <w:sz w:val="24"/>
              </w:rPr>
              <w:t>1.2%</w:t>
            </w:r>
            <w:r>
              <w:rPr>
                <w:rFonts w:hint="eastAsia"/>
                <w:sz w:val="24"/>
              </w:rPr>
              <w:t>（</w:t>
            </w:r>
            <w:r w:rsidRPr="00140E5D">
              <w:rPr>
                <w:rFonts w:hint="eastAsia"/>
                <w:i/>
                <w:sz w:val="24"/>
              </w:rPr>
              <w:t>k</w:t>
            </w:r>
            <w:r>
              <w:rPr>
                <w:rFonts w:hint="eastAsia"/>
                <w:sz w:val="24"/>
              </w:rPr>
              <w:t>=2</w:t>
            </w:r>
            <w:r>
              <w:rPr>
                <w:rFonts w:hint="eastAsia"/>
                <w:sz w:val="24"/>
              </w:rPr>
              <w:t>）</w:t>
            </w:r>
          </w:p>
          <w:p w:rsidR="00666A6F" w:rsidRDefault="00666A6F" w:rsidP="00053FE0">
            <w:pPr>
              <w:tabs>
                <w:tab w:val="left" w:pos="792"/>
              </w:tabs>
              <w:spacing w:line="360" w:lineRule="auto"/>
              <w:rPr>
                <w:sz w:val="24"/>
              </w:rPr>
            </w:pPr>
            <w:r>
              <w:rPr>
                <w:rFonts w:hint="eastAsia"/>
                <w:sz w:val="24"/>
              </w:rPr>
              <w:t>3</w:t>
            </w:r>
            <w:r>
              <w:rPr>
                <w:rFonts w:hint="eastAsia"/>
                <w:sz w:val="24"/>
              </w:rPr>
              <w:t>、反射标准白板：陶瓷白板</w:t>
            </w:r>
            <w:r>
              <w:rPr>
                <w:rFonts w:hint="eastAsia"/>
                <w:sz w:val="24"/>
              </w:rPr>
              <w:t>/</w:t>
            </w:r>
            <w:r>
              <w:rPr>
                <w:rFonts w:hint="eastAsia"/>
                <w:sz w:val="24"/>
              </w:rPr>
              <w:t>氧化镁、硫酸钡或海伦粉压制的平面白板（满足其中之一），直径符合</w:t>
            </w:r>
            <w:r>
              <w:rPr>
                <w:rFonts w:hint="eastAsia"/>
                <w:sz w:val="24"/>
              </w:rPr>
              <w:t>(30~100)mm</w:t>
            </w:r>
          </w:p>
          <w:p w:rsidR="00666A6F" w:rsidRDefault="00666A6F" w:rsidP="00053FE0">
            <w:pPr>
              <w:tabs>
                <w:tab w:val="left" w:pos="792"/>
              </w:tabs>
              <w:spacing w:line="360" w:lineRule="auto"/>
              <w:rPr>
                <w:sz w:val="24"/>
              </w:rPr>
            </w:pPr>
            <w:r>
              <w:rPr>
                <w:rFonts w:hint="eastAsia"/>
                <w:sz w:val="24"/>
              </w:rPr>
              <w:t>4</w:t>
            </w:r>
            <w:r>
              <w:rPr>
                <w:rFonts w:hint="eastAsia"/>
                <w:sz w:val="24"/>
              </w:rPr>
              <w:t>、透射标准白板：平行平面白板</w:t>
            </w:r>
          </w:p>
          <w:p w:rsidR="00666A6F" w:rsidRPr="00CE1DCF" w:rsidRDefault="00666A6F" w:rsidP="00053FE0">
            <w:pPr>
              <w:tabs>
                <w:tab w:val="left" w:pos="792"/>
              </w:tabs>
              <w:spacing w:line="360" w:lineRule="auto"/>
              <w:rPr>
                <w:sz w:val="24"/>
              </w:rPr>
            </w:pPr>
            <w:r>
              <w:rPr>
                <w:rFonts w:hint="eastAsia"/>
                <w:sz w:val="24"/>
              </w:rPr>
              <w:t>5</w:t>
            </w:r>
            <w:r>
              <w:rPr>
                <w:rFonts w:hint="eastAsia"/>
                <w:sz w:val="24"/>
              </w:rPr>
              <w:t>、透射式标准色板：红、橙、绿、蓝、紫各一块，直径不小于</w:t>
            </w:r>
            <w:r>
              <w:rPr>
                <w:rFonts w:hint="eastAsia"/>
                <w:sz w:val="24"/>
              </w:rPr>
              <w:t>60mm</w:t>
            </w:r>
          </w:p>
          <w:p w:rsidR="00666A6F" w:rsidRPr="00B26810" w:rsidRDefault="00666A6F" w:rsidP="00053FE0">
            <w:pPr>
              <w:tabs>
                <w:tab w:val="left" w:pos="792"/>
              </w:tabs>
              <w:spacing w:line="360" w:lineRule="auto"/>
              <w:rPr>
                <w:sz w:val="24"/>
              </w:rPr>
            </w:pPr>
            <w:r>
              <w:rPr>
                <w:rFonts w:hint="eastAsia"/>
                <w:sz w:val="24"/>
              </w:rPr>
              <w:t>6</w:t>
            </w:r>
            <w:r>
              <w:rPr>
                <w:rFonts w:hint="eastAsia"/>
                <w:sz w:val="24"/>
              </w:rPr>
              <w:t>、反射式标准色板：白、黄、红、绿、蓝各一块，直径符合</w:t>
            </w:r>
            <w:r>
              <w:rPr>
                <w:rFonts w:hint="eastAsia"/>
                <w:sz w:val="24"/>
              </w:rPr>
              <w:t>(30~100)mm</w:t>
            </w:r>
          </w:p>
          <w:p w:rsidR="00666A6F" w:rsidRPr="00E86E8A" w:rsidRDefault="00666A6F" w:rsidP="00053FE0">
            <w:pPr>
              <w:tabs>
                <w:tab w:val="left" w:pos="792"/>
              </w:tabs>
              <w:spacing w:line="360" w:lineRule="auto"/>
              <w:rPr>
                <w:sz w:val="24"/>
              </w:rPr>
            </w:pPr>
            <w:r>
              <w:rPr>
                <w:rFonts w:hint="eastAsia"/>
                <w:sz w:val="24"/>
              </w:rPr>
              <w:t>7</w:t>
            </w:r>
            <w:r>
              <w:rPr>
                <w:rFonts w:hint="eastAsia"/>
                <w:sz w:val="24"/>
              </w:rPr>
              <w:t>、升色温色板：可将</w:t>
            </w:r>
            <w:r>
              <w:rPr>
                <w:rFonts w:hint="eastAsia"/>
                <w:sz w:val="24"/>
              </w:rPr>
              <w:t>2856K</w:t>
            </w:r>
            <w:r>
              <w:rPr>
                <w:rFonts w:hint="eastAsia"/>
                <w:sz w:val="24"/>
              </w:rPr>
              <w:t>标准光源色温升到</w:t>
            </w:r>
            <w:r>
              <w:rPr>
                <w:rFonts w:hint="eastAsia"/>
                <w:sz w:val="24"/>
              </w:rPr>
              <w:t>(6500</w:t>
            </w:r>
            <w:r>
              <w:rPr>
                <w:rFonts w:hint="eastAsia"/>
                <w:sz w:val="24"/>
              </w:rPr>
              <w:t>±</w:t>
            </w:r>
            <w:r>
              <w:rPr>
                <w:rFonts w:hint="eastAsia"/>
                <w:sz w:val="24"/>
              </w:rPr>
              <w:t>100)K</w:t>
            </w:r>
            <w:r>
              <w:rPr>
                <w:rFonts w:hint="eastAsia"/>
                <w:sz w:val="24"/>
              </w:rPr>
              <w:t>的平行平面升色温滤光片，直径不小于</w:t>
            </w:r>
            <w:r>
              <w:rPr>
                <w:rFonts w:hint="eastAsia"/>
                <w:sz w:val="24"/>
              </w:rPr>
              <w:t>60mm</w:t>
            </w:r>
          </w:p>
          <w:p w:rsidR="00666A6F" w:rsidRDefault="00666A6F" w:rsidP="00053FE0">
            <w:pPr>
              <w:tabs>
                <w:tab w:val="left" w:pos="792"/>
              </w:tabs>
              <w:spacing w:line="360" w:lineRule="auto"/>
              <w:rPr>
                <w:sz w:val="24"/>
              </w:rPr>
            </w:pPr>
            <w:r>
              <w:rPr>
                <w:rFonts w:hint="eastAsia"/>
                <w:sz w:val="24"/>
              </w:rPr>
              <w:t>四、配件或选件要求</w:t>
            </w:r>
          </w:p>
          <w:p w:rsidR="00666A6F" w:rsidRPr="00407ECB" w:rsidRDefault="00666A6F" w:rsidP="00053FE0">
            <w:pPr>
              <w:tabs>
                <w:tab w:val="left" w:pos="792"/>
              </w:tabs>
              <w:spacing w:line="360" w:lineRule="auto"/>
              <w:rPr>
                <w:sz w:val="24"/>
              </w:rPr>
            </w:pPr>
            <w:r>
              <w:rPr>
                <w:rFonts w:hint="eastAsia"/>
                <w:sz w:val="24"/>
              </w:rPr>
              <w:t>光轨（含基座，带测距标尺）、滑车、灯架、灯丝平面调整装置、光阑、发光强度标准灯组（共</w:t>
            </w:r>
            <w:r>
              <w:rPr>
                <w:rFonts w:hint="eastAsia"/>
                <w:sz w:val="24"/>
              </w:rPr>
              <w:t>9</w:t>
            </w:r>
            <w:r>
              <w:rPr>
                <w:rFonts w:hint="eastAsia"/>
                <w:sz w:val="24"/>
              </w:rPr>
              <w:t>只）、反射标准白板、透射标准白板、透射式标准色板、反射式标准色板、升色温色板、光学暗室帷帐</w:t>
            </w:r>
          </w:p>
          <w:p w:rsidR="00666A6F" w:rsidRDefault="00666A6F" w:rsidP="00053FE0">
            <w:pPr>
              <w:tabs>
                <w:tab w:val="left" w:pos="792"/>
              </w:tabs>
              <w:spacing w:line="360" w:lineRule="auto"/>
              <w:rPr>
                <w:sz w:val="24"/>
              </w:rPr>
            </w:pPr>
            <w:r>
              <w:rPr>
                <w:rFonts w:hint="eastAsia"/>
                <w:sz w:val="24"/>
              </w:rPr>
              <w:t>五、安装调试要求</w:t>
            </w:r>
          </w:p>
          <w:p w:rsidR="00666A6F" w:rsidRDefault="00666A6F" w:rsidP="00053FE0">
            <w:pPr>
              <w:tabs>
                <w:tab w:val="left" w:pos="792"/>
              </w:tabs>
              <w:spacing w:line="360" w:lineRule="auto"/>
              <w:rPr>
                <w:sz w:val="24"/>
              </w:rPr>
            </w:pPr>
            <w:r>
              <w:rPr>
                <w:rFonts w:hint="eastAsia"/>
                <w:sz w:val="24"/>
              </w:rPr>
              <w:t>上门安装培训</w:t>
            </w:r>
          </w:p>
          <w:p w:rsidR="00666A6F" w:rsidRDefault="00666A6F" w:rsidP="00053FE0">
            <w:pPr>
              <w:tabs>
                <w:tab w:val="left" w:pos="792"/>
              </w:tabs>
              <w:spacing w:line="360" w:lineRule="auto"/>
              <w:rPr>
                <w:sz w:val="24"/>
              </w:rPr>
            </w:pPr>
            <w:r>
              <w:rPr>
                <w:rFonts w:hint="eastAsia"/>
                <w:sz w:val="24"/>
              </w:rPr>
              <w:t>六、溯源要求</w:t>
            </w:r>
          </w:p>
          <w:p w:rsidR="00666A6F" w:rsidRDefault="00666A6F" w:rsidP="00666A6F">
            <w:pPr>
              <w:tabs>
                <w:tab w:val="left" w:pos="792"/>
              </w:tabs>
              <w:spacing w:line="360" w:lineRule="auto"/>
              <w:rPr>
                <w:sz w:val="24"/>
              </w:rPr>
            </w:pPr>
            <w:r>
              <w:rPr>
                <w:rFonts w:hint="eastAsia"/>
                <w:sz w:val="24"/>
              </w:rPr>
              <w:t>带含</w:t>
            </w:r>
            <w:r>
              <w:rPr>
                <w:rFonts w:hint="eastAsia"/>
                <w:sz w:val="24"/>
              </w:rPr>
              <w:t>CNAS</w:t>
            </w:r>
            <w:r>
              <w:rPr>
                <w:rFonts w:hint="eastAsia"/>
                <w:sz w:val="24"/>
              </w:rPr>
              <w:t>标识的有效溯源证书</w:t>
            </w:r>
            <w:r w:rsidRPr="00597C0E">
              <w:rPr>
                <w:rFonts w:hint="eastAsia"/>
                <w:sz w:val="24"/>
              </w:rPr>
              <w:t>或中国计量</w:t>
            </w:r>
            <w:r>
              <w:rPr>
                <w:rFonts w:hint="eastAsia"/>
                <w:sz w:val="24"/>
              </w:rPr>
              <w:t>科学研究</w:t>
            </w:r>
            <w:r w:rsidRPr="00597C0E">
              <w:rPr>
                <w:rFonts w:hint="eastAsia"/>
                <w:sz w:val="24"/>
              </w:rPr>
              <w:t>院校准证书</w:t>
            </w:r>
            <w:r>
              <w:rPr>
                <w:rFonts w:hint="eastAsia"/>
                <w:sz w:val="24"/>
              </w:rPr>
              <w:t>，其中发光强度标准灯组必须带中国计量科学研究院证书</w:t>
            </w:r>
          </w:p>
          <w:p w:rsidR="00053FE0" w:rsidRDefault="00053FE0" w:rsidP="00666A6F">
            <w:pPr>
              <w:tabs>
                <w:tab w:val="left" w:pos="792"/>
              </w:tabs>
              <w:spacing w:line="360" w:lineRule="auto"/>
              <w:rPr>
                <w:sz w:val="24"/>
              </w:rPr>
            </w:pPr>
          </w:p>
          <w:p w:rsidR="00053FE0" w:rsidRPr="00053FE0" w:rsidRDefault="00053FE0" w:rsidP="00666A6F">
            <w:pPr>
              <w:tabs>
                <w:tab w:val="left" w:pos="792"/>
              </w:tabs>
              <w:spacing w:line="360" w:lineRule="auto"/>
              <w:rPr>
                <w:b/>
                <w:sz w:val="24"/>
              </w:rPr>
            </w:pPr>
            <w:r w:rsidRPr="00053FE0">
              <w:rPr>
                <w:rFonts w:hint="eastAsia"/>
                <w:b/>
                <w:sz w:val="24"/>
              </w:rPr>
              <w:lastRenderedPageBreak/>
              <w:t>2</w:t>
            </w:r>
            <w:r w:rsidRPr="00053FE0">
              <w:rPr>
                <w:rFonts w:hint="eastAsia"/>
                <w:b/>
                <w:sz w:val="24"/>
              </w:rPr>
              <w:t>、沈阳</w:t>
            </w:r>
            <w:r w:rsidR="0042208A" w:rsidRPr="0042208A">
              <w:rPr>
                <w:rFonts w:hint="eastAsia"/>
                <w:b/>
                <w:sz w:val="24"/>
              </w:rPr>
              <w:t>实验室</w:t>
            </w:r>
            <w:r w:rsidR="0042208A">
              <w:rPr>
                <w:rFonts w:hint="eastAsia"/>
                <w:b/>
                <w:sz w:val="24"/>
              </w:rPr>
              <w:t>：</w:t>
            </w:r>
          </w:p>
          <w:p w:rsidR="00053FE0" w:rsidRDefault="00053FE0" w:rsidP="00053FE0">
            <w:pPr>
              <w:tabs>
                <w:tab w:val="left" w:pos="792"/>
              </w:tabs>
              <w:spacing w:line="360" w:lineRule="auto"/>
              <w:rPr>
                <w:sz w:val="24"/>
              </w:rPr>
            </w:pPr>
            <w:r>
              <w:rPr>
                <w:rFonts w:hint="eastAsia"/>
                <w:sz w:val="24"/>
              </w:rPr>
              <w:t>一、外观要求</w:t>
            </w:r>
          </w:p>
          <w:p w:rsidR="00053FE0" w:rsidRDefault="00053FE0" w:rsidP="00053FE0">
            <w:pPr>
              <w:tabs>
                <w:tab w:val="left" w:pos="792"/>
              </w:tabs>
              <w:spacing w:line="360" w:lineRule="auto"/>
              <w:rPr>
                <w:sz w:val="24"/>
              </w:rPr>
            </w:pPr>
            <w:r>
              <w:rPr>
                <w:rFonts w:hint="eastAsia"/>
                <w:sz w:val="24"/>
              </w:rPr>
              <w:t>完好，无影响正常工作的缺陷</w:t>
            </w:r>
          </w:p>
          <w:p w:rsidR="00053FE0" w:rsidRDefault="00053FE0" w:rsidP="00053FE0">
            <w:pPr>
              <w:tabs>
                <w:tab w:val="left" w:pos="792"/>
              </w:tabs>
              <w:spacing w:line="360" w:lineRule="auto"/>
              <w:rPr>
                <w:sz w:val="24"/>
              </w:rPr>
            </w:pPr>
            <w:r>
              <w:rPr>
                <w:rFonts w:hint="eastAsia"/>
                <w:sz w:val="24"/>
              </w:rPr>
              <w:t>二、功能指标要求</w:t>
            </w:r>
          </w:p>
          <w:p w:rsidR="00053FE0" w:rsidRPr="0057322B" w:rsidRDefault="00053FE0" w:rsidP="00053FE0">
            <w:pPr>
              <w:tabs>
                <w:tab w:val="left" w:pos="792"/>
              </w:tabs>
              <w:spacing w:line="360" w:lineRule="auto"/>
              <w:jc w:val="left"/>
              <w:rPr>
                <w:sz w:val="24"/>
              </w:rPr>
            </w:pPr>
            <w:r>
              <w:rPr>
                <w:rFonts w:hint="eastAsia"/>
                <w:sz w:val="24"/>
              </w:rPr>
              <w:t>符合《</w:t>
            </w:r>
            <w:r>
              <w:rPr>
                <w:rFonts w:hint="eastAsia"/>
                <w:sz w:val="24"/>
              </w:rPr>
              <w:t xml:space="preserve">JJG 245-2005 </w:t>
            </w:r>
            <w:r>
              <w:rPr>
                <w:rFonts w:hint="eastAsia"/>
                <w:sz w:val="24"/>
              </w:rPr>
              <w:t>光照度计检定规程》、《</w:t>
            </w:r>
            <w:r>
              <w:rPr>
                <w:rFonts w:hint="eastAsia"/>
                <w:sz w:val="24"/>
              </w:rPr>
              <w:t xml:space="preserve">JJG 211-2005 </w:t>
            </w:r>
            <w:r>
              <w:rPr>
                <w:rFonts w:hint="eastAsia"/>
                <w:sz w:val="24"/>
              </w:rPr>
              <w:t>亮度计检定规程》的要求，可</w:t>
            </w:r>
            <w:r w:rsidRPr="0057322B">
              <w:rPr>
                <w:rFonts w:hint="eastAsia"/>
                <w:sz w:val="24"/>
              </w:rPr>
              <w:t>用于</w:t>
            </w:r>
            <w:r>
              <w:rPr>
                <w:rFonts w:hint="eastAsia"/>
                <w:sz w:val="24"/>
              </w:rPr>
              <w:t>照度计、亮度计的计量</w:t>
            </w:r>
          </w:p>
          <w:p w:rsidR="00053FE0" w:rsidRDefault="00053FE0" w:rsidP="00053FE0">
            <w:pPr>
              <w:tabs>
                <w:tab w:val="left" w:pos="792"/>
              </w:tabs>
              <w:spacing w:line="360" w:lineRule="auto"/>
              <w:rPr>
                <w:sz w:val="24"/>
              </w:rPr>
            </w:pPr>
            <w:r>
              <w:rPr>
                <w:rFonts w:hint="eastAsia"/>
                <w:sz w:val="24"/>
              </w:rPr>
              <w:t>三、性能指标要求</w:t>
            </w:r>
          </w:p>
          <w:p w:rsidR="00053FE0" w:rsidRPr="00B26810" w:rsidRDefault="00053FE0" w:rsidP="00053FE0">
            <w:pPr>
              <w:tabs>
                <w:tab w:val="left" w:pos="792"/>
              </w:tabs>
              <w:spacing w:line="360" w:lineRule="auto"/>
              <w:rPr>
                <w:sz w:val="24"/>
              </w:rPr>
            </w:pPr>
            <w:r>
              <w:rPr>
                <w:rFonts w:hint="eastAsia"/>
                <w:sz w:val="24"/>
              </w:rPr>
              <w:t>1</w:t>
            </w:r>
            <w:r>
              <w:rPr>
                <w:rFonts w:hint="eastAsia"/>
                <w:sz w:val="24"/>
              </w:rPr>
              <w:t>、光轨：长度</w:t>
            </w:r>
            <w:r>
              <w:rPr>
                <w:rFonts w:hint="eastAsia"/>
                <w:sz w:val="24"/>
              </w:rPr>
              <w:t>9m</w:t>
            </w:r>
            <w:r>
              <w:rPr>
                <w:rFonts w:hint="eastAsia"/>
                <w:sz w:val="24"/>
              </w:rPr>
              <w:t>，平直性误差不超过±</w:t>
            </w:r>
            <w:r>
              <w:rPr>
                <w:rFonts w:hint="eastAsia"/>
                <w:sz w:val="24"/>
              </w:rPr>
              <w:t>1mm</w:t>
            </w:r>
            <w:r>
              <w:rPr>
                <w:rFonts w:hint="eastAsia"/>
                <w:sz w:val="24"/>
              </w:rPr>
              <w:t>，测距米尺</w:t>
            </w:r>
            <w:r>
              <w:rPr>
                <w:rFonts w:hint="eastAsia"/>
                <w:sz w:val="24"/>
              </w:rPr>
              <w:t>1m</w:t>
            </w:r>
            <w:r>
              <w:rPr>
                <w:rFonts w:hint="eastAsia"/>
                <w:sz w:val="24"/>
              </w:rPr>
              <w:t>内的总误差不大于</w:t>
            </w:r>
            <w:r>
              <w:rPr>
                <w:rFonts w:hint="eastAsia"/>
                <w:sz w:val="24"/>
              </w:rPr>
              <w:t>0.2mm</w:t>
            </w:r>
          </w:p>
          <w:p w:rsidR="00053FE0" w:rsidRDefault="00053FE0" w:rsidP="00053FE0">
            <w:pPr>
              <w:tabs>
                <w:tab w:val="left" w:pos="792"/>
              </w:tabs>
              <w:spacing w:line="360" w:lineRule="auto"/>
              <w:rPr>
                <w:sz w:val="24"/>
              </w:rPr>
            </w:pPr>
            <w:r>
              <w:rPr>
                <w:rFonts w:hint="eastAsia"/>
                <w:sz w:val="24"/>
              </w:rPr>
              <w:t>2</w:t>
            </w:r>
            <w:r>
              <w:rPr>
                <w:rFonts w:hint="eastAsia"/>
                <w:sz w:val="24"/>
              </w:rPr>
              <w:t>、</w:t>
            </w:r>
            <w:r w:rsidRPr="00CE1DCF">
              <w:rPr>
                <w:rFonts w:hint="eastAsia"/>
                <w:sz w:val="24"/>
              </w:rPr>
              <w:t>发光强度标准灯</w:t>
            </w:r>
            <w:r>
              <w:rPr>
                <w:rFonts w:hint="eastAsia"/>
                <w:sz w:val="24"/>
              </w:rPr>
              <w:t>：发光强度标称值约</w:t>
            </w:r>
            <w:r>
              <w:rPr>
                <w:rFonts w:hint="eastAsia"/>
                <w:sz w:val="24"/>
              </w:rPr>
              <w:t>90cd</w:t>
            </w:r>
            <w:r>
              <w:rPr>
                <w:rFonts w:hint="eastAsia"/>
                <w:sz w:val="24"/>
              </w:rPr>
              <w:t>、</w:t>
            </w:r>
            <w:r>
              <w:rPr>
                <w:rFonts w:hint="eastAsia"/>
                <w:sz w:val="24"/>
              </w:rPr>
              <w:t>450cd</w:t>
            </w:r>
            <w:r>
              <w:rPr>
                <w:rFonts w:hint="eastAsia"/>
                <w:sz w:val="24"/>
              </w:rPr>
              <w:t>、</w:t>
            </w:r>
            <w:r>
              <w:rPr>
                <w:rFonts w:hint="eastAsia"/>
                <w:sz w:val="24"/>
              </w:rPr>
              <w:t>1100cd</w:t>
            </w:r>
            <w:r>
              <w:rPr>
                <w:rFonts w:hint="eastAsia"/>
                <w:sz w:val="24"/>
              </w:rPr>
              <w:t>（各</w:t>
            </w:r>
            <w:r>
              <w:rPr>
                <w:rFonts w:hint="eastAsia"/>
                <w:sz w:val="24"/>
              </w:rPr>
              <w:t>3</w:t>
            </w:r>
            <w:r>
              <w:rPr>
                <w:rFonts w:hint="eastAsia"/>
                <w:sz w:val="24"/>
              </w:rPr>
              <w:t>只），色温为</w:t>
            </w:r>
            <w:r>
              <w:rPr>
                <w:rFonts w:hint="eastAsia"/>
                <w:sz w:val="24"/>
              </w:rPr>
              <w:t>2856K</w:t>
            </w:r>
            <w:r>
              <w:rPr>
                <w:rFonts w:hint="eastAsia"/>
                <w:sz w:val="24"/>
              </w:rPr>
              <w:t>，扩展不确定度优于</w:t>
            </w:r>
            <w:r>
              <w:rPr>
                <w:rFonts w:hint="eastAsia"/>
                <w:sz w:val="24"/>
              </w:rPr>
              <w:t>1.2%</w:t>
            </w:r>
            <w:r>
              <w:rPr>
                <w:rFonts w:hint="eastAsia"/>
                <w:sz w:val="24"/>
              </w:rPr>
              <w:t>（</w:t>
            </w:r>
            <w:r w:rsidRPr="00140E5D">
              <w:rPr>
                <w:rFonts w:hint="eastAsia"/>
                <w:i/>
                <w:sz w:val="24"/>
              </w:rPr>
              <w:t>k</w:t>
            </w:r>
            <w:r>
              <w:rPr>
                <w:rFonts w:hint="eastAsia"/>
                <w:sz w:val="24"/>
              </w:rPr>
              <w:t>=2</w:t>
            </w:r>
            <w:r>
              <w:rPr>
                <w:rFonts w:hint="eastAsia"/>
                <w:sz w:val="24"/>
              </w:rPr>
              <w:t>）</w:t>
            </w:r>
          </w:p>
          <w:p w:rsidR="00053FE0" w:rsidRDefault="00053FE0" w:rsidP="00053FE0">
            <w:pPr>
              <w:tabs>
                <w:tab w:val="left" w:pos="792"/>
              </w:tabs>
              <w:spacing w:line="360" w:lineRule="auto"/>
              <w:rPr>
                <w:sz w:val="24"/>
              </w:rPr>
            </w:pPr>
            <w:r>
              <w:rPr>
                <w:rFonts w:hint="eastAsia"/>
                <w:sz w:val="24"/>
              </w:rPr>
              <w:t>3</w:t>
            </w:r>
            <w:r>
              <w:rPr>
                <w:rFonts w:hint="eastAsia"/>
                <w:sz w:val="24"/>
              </w:rPr>
              <w:t>、反射标准白板：陶瓷白板</w:t>
            </w:r>
            <w:r>
              <w:rPr>
                <w:rFonts w:hint="eastAsia"/>
                <w:sz w:val="24"/>
              </w:rPr>
              <w:t>/</w:t>
            </w:r>
            <w:r>
              <w:rPr>
                <w:rFonts w:hint="eastAsia"/>
                <w:sz w:val="24"/>
              </w:rPr>
              <w:t>氧化镁、硫酸钡或海伦粉压制的平面白板（满足其中之一），直径符合</w:t>
            </w:r>
            <w:r>
              <w:rPr>
                <w:rFonts w:hint="eastAsia"/>
                <w:sz w:val="24"/>
              </w:rPr>
              <w:t>(30~100)mm</w:t>
            </w:r>
          </w:p>
          <w:p w:rsidR="00053FE0" w:rsidRDefault="00053FE0" w:rsidP="00053FE0">
            <w:pPr>
              <w:tabs>
                <w:tab w:val="left" w:pos="792"/>
              </w:tabs>
              <w:spacing w:line="360" w:lineRule="auto"/>
              <w:rPr>
                <w:sz w:val="24"/>
              </w:rPr>
            </w:pPr>
            <w:r>
              <w:rPr>
                <w:rFonts w:hint="eastAsia"/>
                <w:sz w:val="24"/>
              </w:rPr>
              <w:t>4</w:t>
            </w:r>
            <w:r>
              <w:rPr>
                <w:rFonts w:hint="eastAsia"/>
                <w:sz w:val="24"/>
              </w:rPr>
              <w:t>、透射标准白板：平行平面白板</w:t>
            </w:r>
          </w:p>
          <w:p w:rsidR="00053FE0" w:rsidRPr="00CE1DCF" w:rsidRDefault="00053FE0" w:rsidP="00053FE0">
            <w:pPr>
              <w:tabs>
                <w:tab w:val="left" w:pos="792"/>
              </w:tabs>
              <w:spacing w:line="360" w:lineRule="auto"/>
              <w:rPr>
                <w:sz w:val="24"/>
              </w:rPr>
            </w:pPr>
            <w:r>
              <w:rPr>
                <w:rFonts w:hint="eastAsia"/>
                <w:sz w:val="24"/>
              </w:rPr>
              <w:t>5</w:t>
            </w:r>
            <w:r>
              <w:rPr>
                <w:rFonts w:hint="eastAsia"/>
                <w:sz w:val="24"/>
              </w:rPr>
              <w:t>、透射式标准色板：红、橙、绿、蓝、紫各一块，直径不小于</w:t>
            </w:r>
            <w:r>
              <w:rPr>
                <w:rFonts w:hint="eastAsia"/>
                <w:sz w:val="24"/>
              </w:rPr>
              <w:t>60mm</w:t>
            </w:r>
          </w:p>
          <w:p w:rsidR="00053FE0" w:rsidRPr="00B26810" w:rsidRDefault="00053FE0" w:rsidP="00053FE0">
            <w:pPr>
              <w:tabs>
                <w:tab w:val="left" w:pos="792"/>
              </w:tabs>
              <w:spacing w:line="360" w:lineRule="auto"/>
              <w:rPr>
                <w:sz w:val="24"/>
              </w:rPr>
            </w:pPr>
            <w:r>
              <w:rPr>
                <w:rFonts w:hint="eastAsia"/>
                <w:sz w:val="24"/>
              </w:rPr>
              <w:t>6</w:t>
            </w:r>
            <w:r>
              <w:rPr>
                <w:rFonts w:hint="eastAsia"/>
                <w:sz w:val="24"/>
              </w:rPr>
              <w:t>、反射式标准色板：白、黄、红、绿、蓝各一块，直径符合</w:t>
            </w:r>
            <w:r>
              <w:rPr>
                <w:rFonts w:hint="eastAsia"/>
                <w:sz w:val="24"/>
              </w:rPr>
              <w:t>(30~100)mm</w:t>
            </w:r>
          </w:p>
          <w:p w:rsidR="00053FE0" w:rsidRPr="00E86E8A" w:rsidRDefault="00053FE0" w:rsidP="00053FE0">
            <w:pPr>
              <w:tabs>
                <w:tab w:val="left" w:pos="792"/>
              </w:tabs>
              <w:spacing w:line="360" w:lineRule="auto"/>
              <w:rPr>
                <w:sz w:val="24"/>
              </w:rPr>
            </w:pPr>
            <w:r>
              <w:rPr>
                <w:rFonts w:hint="eastAsia"/>
                <w:sz w:val="24"/>
              </w:rPr>
              <w:t>7</w:t>
            </w:r>
            <w:r>
              <w:rPr>
                <w:rFonts w:hint="eastAsia"/>
                <w:sz w:val="24"/>
              </w:rPr>
              <w:t>、升色温色板：可将</w:t>
            </w:r>
            <w:r>
              <w:rPr>
                <w:rFonts w:hint="eastAsia"/>
                <w:sz w:val="24"/>
              </w:rPr>
              <w:t>2856K</w:t>
            </w:r>
            <w:r>
              <w:rPr>
                <w:rFonts w:hint="eastAsia"/>
                <w:sz w:val="24"/>
              </w:rPr>
              <w:t>标准光源色温升到</w:t>
            </w:r>
            <w:r>
              <w:rPr>
                <w:rFonts w:hint="eastAsia"/>
                <w:sz w:val="24"/>
              </w:rPr>
              <w:t>(6500</w:t>
            </w:r>
            <w:r>
              <w:rPr>
                <w:rFonts w:hint="eastAsia"/>
                <w:sz w:val="24"/>
              </w:rPr>
              <w:t>±</w:t>
            </w:r>
            <w:r>
              <w:rPr>
                <w:rFonts w:hint="eastAsia"/>
                <w:sz w:val="24"/>
              </w:rPr>
              <w:t>100)K</w:t>
            </w:r>
            <w:r>
              <w:rPr>
                <w:rFonts w:hint="eastAsia"/>
                <w:sz w:val="24"/>
              </w:rPr>
              <w:t>的平行平面升色温滤光片，直径不小于</w:t>
            </w:r>
            <w:r>
              <w:rPr>
                <w:rFonts w:hint="eastAsia"/>
                <w:sz w:val="24"/>
              </w:rPr>
              <w:t>60mm</w:t>
            </w:r>
          </w:p>
          <w:p w:rsidR="00053FE0" w:rsidRDefault="00053FE0" w:rsidP="00053FE0">
            <w:pPr>
              <w:tabs>
                <w:tab w:val="left" w:pos="792"/>
              </w:tabs>
              <w:spacing w:line="360" w:lineRule="auto"/>
              <w:rPr>
                <w:sz w:val="24"/>
              </w:rPr>
            </w:pPr>
            <w:r>
              <w:rPr>
                <w:rFonts w:hint="eastAsia"/>
                <w:sz w:val="24"/>
              </w:rPr>
              <w:t>四、配件或选件要求</w:t>
            </w:r>
          </w:p>
          <w:p w:rsidR="00053FE0" w:rsidRPr="00407ECB" w:rsidRDefault="00053FE0" w:rsidP="00053FE0">
            <w:pPr>
              <w:tabs>
                <w:tab w:val="left" w:pos="792"/>
              </w:tabs>
              <w:spacing w:line="360" w:lineRule="auto"/>
              <w:rPr>
                <w:sz w:val="24"/>
              </w:rPr>
            </w:pPr>
            <w:r>
              <w:rPr>
                <w:rFonts w:hint="eastAsia"/>
                <w:sz w:val="24"/>
              </w:rPr>
              <w:t>光轨（含基座，带测距标尺）、滑车、灯架、灯丝平面调整装置、光阑、发光强度标准灯组（共</w:t>
            </w:r>
            <w:r>
              <w:rPr>
                <w:rFonts w:hint="eastAsia"/>
                <w:sz w:val="24"/>
              </w:rPr>
              <w:t>9</w:t>
            </w:r>
            <w:r>
              <w:rPr>
                <w:rFonts w:hint="eastAsia"/>
                <w:sz w:val="24"/>
              </w:rPr>
              <w:t>只）、反射标准白板、透射标准白板、透射式标准色板、反射式标准色板、升色温色板、光学暗室帷帐</w:t>
            </w:r>
          </w:p>
          <w:p w:rsidR="00053FE0" w:rsidRDefault="00053FE0" w:rsidP="00053FE0">
            <w:pPr>
              <w:tabs>
                <w:tab w:val="left" w:pos="792"/>
              </w:tabs>
              <w:spacing w:line="360" w:lineRule="auto"/>
              <w:rPr>
                <w:sz w:val="24"/>
              </w:rPr>
            </w:pPr>
            <w:r>
              <w:rPr>
                <w:rFonts w:hint="eastAsia"/>
                <w:sz w:val="24"/>
              </w:rPr>
              <w:t>五、安装调试要求</w:t>
            </w:r>
          </w:p>
          <w:p w:rsidR="00053FE0" w:rsidRDefault="00053FE0" w:rsidP="00053FE0">
            <w:pPr>
              <w:tabs>
                <w:tab w:val="left" w:pos="792"/>
              </w:tabs>
              <w:spacing w:line="360" w:lineRule="auto"/>
              <w:rPr>
                <w:sz w:val="24"/>
              </w:rPr>
            </w:pPr>
            <w:r>
              <w:rPr>
                <w:rFonts w:hint="eastAsia"/>
                <w:sz w:val="24"/>
              </w:rPr>
              <w:t>上门安装培训</w:t>
            </w:r>
          </w:p>
          <w:p w:rsidR="00053FE0" w:rsidRDefault="00053FE0" w:rsidP="00053FE0">
            <w:pPr>
              <w:tabs>
                <w:tab w:val="left" w:pos="792"/>
              </w:tabs>
              <w:spacing w:line="360" w:lineRule="auto"/>
              <w:rPr>
                <w:sz w:val="24"/>
              </w:rPr>
            </w:pPr>
            <w:r>
              <w:rPr>
                <w:rFonts w:hint="eastAsia"/>
                <w:sz w:val="24"/>
              </w:rPr>
              <w:t>六、溯源要求</w:t>
            </w:r>
          </w:p>
          <w:p w:rsidR="00053FE0" w:rsidRDefault="00053FE0" w:rsidP="00053FE0">
            <w:pPr>
              <w:tabs>
                <w:tab w:val="left" w:pos="792"/>
              </w:tabs>
              <w:spacing w:line="360" w:lineRule="auto"/>
              <w:rPr>
                <w:sz w:val="24"/>
              </w:rPr>
            </w:pPr>
            <w:r>
              <w:rPr>
                <w:rFonts w:hint="eastAsia"/>
                <w:sz w:val="24"/>
              </w:rPr>
              <w:t>带含</w:t>
            </w:r>
            <w:r>
              <w:rPr>
                <w:rFonts w:hint="eastAsia"/>
                <w:sz w:val="24"/>
              </w:rPr>
              <w:t>CNAS</w:t>
            </w:r>
            <w:r>
              <w:rPr>
                <w:rFonts w:hint="eastAsia"/>
                <w:sz w:val="24"/>
              </w:rPr>
              <w:t>标识的有效溯源证书</w:t>
            </w:r>
            <w:r w:rsidRPr="00597C0E">
              <w:rPr>
                <w:rFonts w:hint="eastAsia"/>
                <w:sz w:val="24"/>
              </w:rPr>
              <w:t>或中国计量</w:t>
            </w:r>
            <w:r>
              <w:rPr>
                <w:rFonts w:hint="eastAsia"/>
                <w:sz w:val="24"/>
              </w:rPr>
              <w:t>科学研究</w:t>
            </w:r>
            <w:r w:rsidRPr="00597C0E">
              <w:rPr>
                <w:rFonts w:hint="eastAsia"/>
                <w:sz w:val="24"/>
              </w:rPr>
              <w:t>院校准证书</w:t>
            </w:r>
            <w:r>
              <w:rPr>
                <w:rFonts w:hint="eastAsia"/>
                <w:sz w:val="24"/>
              </w:rPr>
              <w:t>，其中发光强度标准灯组必须带中国计量科学研究院证书</w:t>
            </w:r>
          </w:p>
          <w:p w:rsidR="00053FE0" w:rsidRPr="00053FE0" w:rsidRDefault="00053FE0" w:rsidP="00666A6F">
            <w:pPr>
              <w:tabs>
                <w:tab w:val="left" w:pos="792"/>
              </w:tabs>
              <w:spacing w:line="360" w:lineRule="auto"/>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666A6F">
        <w:rPr>
          <w:rFonts w:ascii="宋体" w:hAnsi="宋体" w:hint="eastAsia"/>
          <w:sz w:val="24"/>
        </w:rPr>
        <w:t>GDJL-18/10-288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666A6F">
        <w:rPr>
          <w:rFonts w:asciiTheme="minorEastAsia" w:hAnsiTheme="minorEastAsia" w:hint="eastAsia"/>
          <w:sz w:val="24"/>
        </w:rPr>
        <w:t>广电计量2018年光度计量检定系统采购项目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666A6F">
        <w:rPr>
          <w:rFonts w:ascii="宋体" w:hAnsi="宋体" w:hint="eastAsia"/>
          <w:sz w:val="24"/>
        </w:rPr>
        <w:t>GDJL-18/10-288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D556D5">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5721F5">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666A6F">
        <w:rPr>
          <w:rFonts w:ascii="宋体" w:hAnsi="宋体" w:hint="eastAsia"/>
          <w:bCs/>
          <w:sz w:val="24"/>
        </w:rPr>
        <w:t>GDJL-18/10-288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B5C" w:rsidRDefault="00911B5C" w:rsidP="004E6772">
      <w:r>
        <w:separator/>
      </w:r>
    </w:p>
  </w:endnote>
  <w:endnote w:type="continuationSeparator" w:id="1">
    <w:p w:rsidR="00911B5C" w:rsidRDefault="00911B5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E0" w:rsidRDefault="00053F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53FE0" w:rsidRDefault="00053FE0">
            <w:pPr>
              <w:pStyle w:val="a5"/>
              <w:jc w:val="center"/>
            </w:pPr>
            <w:r>
              <w:rPr>
                <w:lang w:val="zh-CN"/>
              </w:rPr>
              <w:t xml:space="preserve"> </w:t>
            </w:r>
            <w:r w:rsidR="0049340B">
              <w:rPr>
                <w:b/>
                <w:sz w:val="24"/>
                <w:szCs w:val="24"/>
              </w:rPr>
              <w:fldChar w:fldCharType="begin"/>
            </w:r>
            <w:r>
              <w:rPr>
                <w:b/>
              </w:rPr>
              <w:instrText>PAGE</w:instrText>
            </w:r>
            <w:r w:rsidR="0049340B">
              <w:rPr>
                <w:b/>
                <w:sz w:val="24"/>
                <w:szCs w:val="24"/>
              </w:rPr>
              <w:fldChar w:fldCharType="separate"/>
            </w:r>
            <w:r w:rsidR="00262687">
              <w:rPr>
                <w:b/>
                <w:noProof/>
              </w:rPr>
              <w:t>4</w:t>
            </w:r>
            <w:r w:rsidR="0049340B">
              <w:rPr>
                <w:b/>
                <w:sz w:val="24"/>
                <w:szCs w:val="24"/>
              </w:rPr>
              <w:fldChar w:fldCharType="end"/>
            </w:r>
            <w:r>
              <w:rPr>
                <w:lang w:val="zh-CN"/>
              </w:rPr>
              <w:t xml:space="preserve"> / </w:t>
            </w:r>
            <w:r w:rsidR="0049340B">
              <w:rPr>
                <w:b/>
                <w:sz w:val="24"/>
                <w:szCs w:val="24"/>
              </w:rPr>
              <w:fldChar w:fldCharType="begin"/>
            </w:r>
            <w:r>
              <w:rPr>
                <w:b/>
              </w:rPr>
              <w:instrText>NUMPAGES</w:instrText>
            </w:r>
            <w:r w:rsidR="0049340B">
              <w:rPr>
                <w:b/>
                <w:sz w:val="24"/>
                <w:szCs w:val="24"/>
              </w:rPr>
              <w:fldChar w:fldCharType="separate"/>
            </w:r>
            <w:r w:rsidR="00262687">
              <w:rPr>
                <w:b/>
                <w:noProof/>
              </w:rPr>
              <w:t>48</w:t>
            </w:r>
            <w:r w:rsidR="0049340B">
              <w:rPr>
                <w:b/>
                <w:sz w:val="24"/>
                <w:szCs w:val="24"/>
              </w:rPr>
              <w:fldChar w:fldCharType="end"/>
            </w:r>
          </w:p>
        </w:sdtContent>
      </w:sdt>
    </w:sdtContent>
  </w:sdt>
  <w:p w:rsidR="00053FE0" w:rsidRDefault="00053F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B5C" w:rsidRDefault="00911B5C" w:rsidP="004E6772">
      <w:r>
        <w:separator/>
      </w:r>
    </w:p>
  </w:footnote>
  <w:footnote w:type="continuationSeparator" w:id="1">
    <w:p w:rsidR="00911B5C" w:rsidRDefault="00911B5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E0" w:rsidRPr="00054CF2" w:rsidRDefault="00053FE0"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Pr="00666A6F">
      <w:rPr>
        <w:rFonts w:ascii="宋体" w:hAnsi="宋体" w:cs="宋体" w:hint="eastAsia"/>
        <w:kern w:val="0"/>
        <w:sz w:val="21"/>
        <w:szCs w:val="21"/>
        <w:u w:val="single"/>
      </w:rPr>
      <w:t>广电计量2018年光度计量检定系统采购项目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2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48</Pages>
  <Words>4482</Words>
  <Characters>25553</Characters>
  <Application>Microsoft Office Word</Application>
  <DocSecurity>0</DocSecurity>
  <Lines>212</Lines>
  <Paragraphs>59</Paragraphs>
  <ScaleCrop>false</ScaleCrop>
  <Company>Lenovo</Company>
  <LinksUpToDate>false</LinksUpToDate>
  <CharactersWithSpaces>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58</cp:revision>
  <cp:lastPrinted>2015-12-14T05:56:00Z</cp:lastPrinted>
  <dcterms:created xsi:type="dcterms:W3CDTF">2018-05-17T01:43:00Z</dcterms:created>
  <dcterms:modified xsi:type="dcterms:W3CDTF">2018-10-09T03:39:00Z</dcterms:modified>
</cp:coreProperties>
</file>